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B518" w14:textId="77777777" w:rsidR="00F23336" w:rsidRPr="00F23336" w:rsidRDefault="00F23336" w:rsidP="00F23336">
      <w:pPr>
        <w:autoSpaceDE w:val="0"/>
        <w:autoSpaceDN w:val="0"/>
        <w:adjustRightInd w:val="0"/>
        <w:spacing w:after="0" w:line="276" w:lineRule="auto"/>
        <w:jc w:val="center"/>
        <w:rPr>
          <w:rFonts w:ascii="Times New Roman" w:eastAsia="Calibri" w:hAnsi="Times New Roman" w:cs="Times New Roman"/>
          <w:b/>
          <w:bCs/>
          <w:color w:val="000000"/>
          <w:kern w:val="0"/>
          <w:sz w:val="40"/>
          <w:szCs w:val="40"/>
          <w:lang w:eastAsia="cs-CZ"/>
          <w14:ligatures w14:val="none"/>
        </w:rPr>
      </w:pPr>
      <w:bookmarkStart w:id="0" w:name="_Hlk135311854"/>
      <w:r w:rsidRPr="00F23336">
        <w:rPr>
          <w:rFonts w:ascii="Times New Roman" w:eastAsia="Calibri" w:hAnsi="Times New Roman" w:cs="Times New Roman"/>
          <w:b/>
          <w:bCs/>
          <w:color w:val="000000"/>
          <w:kern w:val="0"/>
          <w:sz w:val="40"/>
          <w:szCs w:val="40"/>
          <w:lang w:eastAsia="cs-CZ"/>
          <w14:ligatures w14:val="none"/>
        </w:rPr>
        <w:t xml:space="preserve">Smlouva o průběžném poskytování služeb </w:t>
      </w:r>
    </w:p>
    <w:p w14:paraId="48EE5760" w14:textId="77777777" w:rsidR="00F23336" w:rsidRPr="00F23336" w:rsidRDefault="00F23336" w:rsidP="00F23336">
      <w:pPr>
        <w:autoSpaceDE w:val="0"/>
        <w:autoSpaceDN w:val="0"/>
        <w:adjustRightInd w:val="0"/>
        <w:spacing w:after="0" w:line="276" w:lineRule="auto"/>
        <w:jc w:val="center"/>
        <w:rPr>
          <w:rFonts w:ascii="Times New Roman" w:eastAsia="Calibri" w:hAnsi="Times New Roman" w:cs="Times New Roman"/>
          <w:b/>
          <w:bCs/>
          <w:color w:val="000000"/>
          <w:kern w:val="0"/>
          <w:sz w:val="40"/>
          <w:szCs w:val="40"/>
          <w:lang w:eastAsia="cs-CZ"/>
          <w14:ligatures w14:val="none"/>
        </w:rPr>
      </w:pPr>
      <w:r w:rsidRPr="00F23336">
        <w:rPr>
          <w:rFonts w:ascii="Times New Roman" w:eastAsia="Calibri" w:hAnsi="Times New Roman" w:cs="Times New Roman"/>
          <w:b/>
          <w:bCs/>
          <w:color w:val="000000"/>
          <w:kern w:val="0"/>
          <w:sz w:val="40"/>
          <w:szCs w:val="40"/>
          <w:lang w:eastAsia="cs-CZ"/>
          <w14:ligatures w14:val="none"/>
        </w:rPr>
        <w:t xml:space="preserve">– </w:t>
      </w:r>
    </w:p>
    <w:p w14:paraId="7A9AC8E0" w14:textId="77777777" w:rsidR="00F23336" w:rsidRPr="00F23336" w:rsidRDefault="00F23336" w:rsidP="00F23336">
      <w:pPr>
        <w:autoSpaceDE w:val="0"/>
        <w:autoSpaceDN w:val="0"/>
        <w:adjustRightInd w:val="0"/>
        <w:spacing w:after="0" w:line="276" w:lineRule="auto"/>
        <w:contextualSpacing/>
        <w:jc w:val="center"/>
        <w:rPr>
          <w:rFonts w:ascii="Times New Roman" w:eastAsia="Calibri" w:hAnsi="Times New Roman" w:cs="Times New Roman"/>
          <w:b/>
          <w:bCs/>
          <w:color w:val="000000"/>
          <w:kern w:val="0"/>
          <w:sz w:val="40"/>
          <w:szCs w:val="40"/>
          <w:lang w:eastAsia="cs-CZ"/>
          <w14:ligatures w14:val="none"/>
        </w:rPr>
      </w:pPr>
      <w:r w:rsidRPr="00F23336">
        <w:rPr>
          <w:rFonts w:ascii="Times New Roman" w:eastAsia="Calibri" w:hAnsi="Times New Roman" w:cs="Times New Roman"/>
          <w:b/>
          <w:bCs/>
          <w:color w:val="000000"/>
          <w:kern w:val="0"/>
          <w:sz w:val="40"/>
          <w:szCs w:val="40"/>
          <w:lang w:eastAsia="cs-CZ"/>
          <w14:ligatures w14:val="none"/>
        </w:rPr>
        <w:t>Správa ATÚ a telefonních rozvodů</w:t>
      </w:r>
    </w:p>
    <w:p w14:paraId="3A6F1142" w14:textId="77777777" w:rsidR="0020522E" w:rsidRPr="0020522E" w:rsidRDefault="0020522E" w:rsidP="0020522E">
      <w:pPr>
        <w:autoSpaceDE w:val="0"/>
        <w:autoSpaceDN w:val="0"/>
        <w:adjustRightInd w:val="0"/>
        <w:spacing w:after="0" w:line="276" w:lineRule="auto"/>
        <w:jc w:val="center"/>
        <w:rPr>
          <w:rFonts w:ascii="Times New Roman" w:eastAsia="Calibri" w:hAnsi="Times New Roman" w:cs="Times New Roman"/>
          <w:b/>
          <w:bCs/>
          <w:color w:val="000000"/>
          <w:kern w:val="0"/>
          <w:sz w:val="32"/>
          <w:szCs w:val="32"/>
          <w:lang w:eastAsia="cs-CZ"/>
          <w14:ligatures w14:val="none"/>
        </w:rPr>
      </w:pPr>
      <w:r w:rsidRPr="0020522E">
        <w:rPr>
          <w:rFonts w:ascii="Times New Roman" w:eastAsia="Times New Roman" w:hAnsi="Times New Roman" w:cs="Times New Roman"/>
          <w:color w:val="000000"/>
          <w:kern w:val="0"/>
          <w:sz w:val="24"/>
          <w:szCs w:val="24"/>
          <w14:ligatures w14:val="none"/>
        </w:rPr>
        <w:t>uzavřená podle § 1746 odst. 2 zákona č. 89/2012 Sb., občanský zákoník, ve znění pozdějších předpisů (dále jen „Občanský zákoník“)</w:t>
      </w:r>
    </w:p>
    <w:p w14:paraId="51F5D10A" w14:textId="77777777" w:rsidR="0020522E" w:rsidRPr="0020522E" w:rsidRDefault="0020522E" w:rsidP="0020522E">
      <w:pPr>
        <w:autoSpaceDE w:val="0"/>
        <w:autoSpaceDN w:val="0"/>
        <w:adjustRightInd w:val="0"/>
        <w:spacing w:after="0" w:line="276" w:lineRule="auto"/>
        <w:jc w:val="center"/>
        <w:rPr>
          <w:rFonts w:ascii="Times New Roman" w:eastAsia="Calibri" w:hAnsi="Times New Roman" w:cs="Times New Roman"/>
          <w:b/>
          <w:bCs/>
          <w:color w:val="000000"/>
          <w:kern w:val="0"/>
          <w:sz w:val="24"/>
          <w:szCs w:val="24"/>
          <w:lang w:eastAsia="cs-CZ"/>
          <w14:ligatures w14:val="none"/>
        </w:rPr>
      </w:pPr>
    </w:p>
    <w:p w14:paraId="5E615216" w14:textId="77777777" w:rsidR="0020522E" w:rsidRPr="0020522E" w:rsidRDefault="0020522E" w:rsidP="0020522E">
      <w:pPr>
        <w:autoSpaceDE w:val="0"/>
        <w:autoSpaceDN w:val="0"/>
        <w:adjustRightInd w:val="0"/>
        <w:spacing w:after="0" w:line="276" w:lineRule="auto"/>
        <w:jc w:val="center"/>
        <w:rPr>
          <w:rFonts w:ascii="Times New Roman" w:eastAsia="Calibri" w:hAnsi="Times New Roman" w:cs="Times New Roman"/>
          <w:b/>
          <w:bCs/>
          <w:color w:val="000000"/>
          <w:kern w:val="0"/>
          <w:sz w:val="24"/>
          <w:szCs w:val="24"/>
          <w:lang w:eastAsia="cs-CZ"/>
          <w14:ligatures w14:val="none"/>
        </w:rPr>
      </w:pPr>
    </w:p>
    <w:p w14:paraId="5696ED95" w14:textId="77777777" w:rsidR="0020522E" w:rsidRPr="0020522E" w:rsidRDefault="0020522E" w:rsidP="0020522E">
      <w:pPr>
        <w:spacing w:after="0" w:line="240" w:lineRule="auto"/>
        <w:jc w:val="center"/>
        <w:rPr>
          <w:rFonts w:ascii="Times New Roman" w:eastAsia="Calibri" w:hAnsi="Times New Roman" w:cs="Times New Roman"/>
          <w:b/>
          <w:kern w:val="0"/>
          <w:sz w:val="24"/>
          <w14:ligatures w14:val="none"/>
        </w:rPr>
      </w:pPr>
      <w:r w:rsidRPr="0020522E">
        <w:rPr>
          <w:rFonts w:ascii="Times New Roman" w:eastAsia="Calibri" w:hAnsi="Times New Roman" w:cs="Times New Roman"/>
          <w:b/>
          <w:kern w:val="0"/>
          <w:sz w:val="24"/>
          <w14:ligatures w14:val="none"/>
        </w:rPr>
        <w:t>Smluvní strany</w:t>
      </w:r>
    </w:p>
    <w:p w14:paraId="772553ED" w14:textId="77777777" w:rsidR="0020522E" w:rsidRPr="0020522E" w:rsidRDefault="0020522E" w:rsidP="0020522E">
      <w:pPr>
        <w:spacing w:after="0" w:line="276" w:lineRule="auto"/>
        <w:jc w:val="both"/>
        <w:rPr>
          <w:rFonts w:ascii="Calibri" w:eastAsia="Calibri" w:hAnsi="Calibri" w:cs="Arial"/>
          <w:b/>
          <w:kern w:val="0"/>
          <w:sz w:val="24"/>
          <w14:ligatures w14:val="none"/>
        </w:rPr>
      </w:pPr>
    </w:p>
    <w:p w14:paraId="6E11B364" w14:textId="77777777" w:rsidR="0020522E" w:rsidRPr="0020522E" w:rsidRDefault="0020522E" w:rsidP="0020522E">
      <w:pPr>
        <w:numPr>
          <w:ilvl w:val="0"/>
          <w:numId w:val="4"/>
        </w:numPr>
        <w:suppressAutoHyphens/>
        <w:autoSpaceDE w:val="0"/>
        <w:spacing w:after="200" w:line="276" w:lineRule="auto"/>
        <w:ind w:left="284"/>
        <w:jc w:val="both"/>
        <w:rPr>
          <w:rFonts w:ascii="Calibri" w:eastAsia="Calibri" w:hAnsi="Calibri" w:cs="Calibri"/>
          <w:color w:val="000000"/>
          <w:kern w:val="0"/>
          <w:sz w:val="24"/>
          <w:szCs w:val="24"/>
          <w14:ligatures w14:val="none"/>
        </w:rPr>
      </w:pPr>
      <w:bookmarkStart w:id="1" w:name="_Hlk135134201"/>
      <w:r w:rsidRPr="0020522E">
        <w:rPr>
          <w:rFonts w:ascii="Times New Roman" w:eastAsia="Calibri" w:hAnsi="Times New Roman" w:cs="Times New Roman"/>
          <w:b/>
          <w:bCs/>
          <w:kern w:val="0"/>
          <w:sz w:val="24"/>
          <w:szCs w:val="24"/>
          <w14:ligatures w14:val="none"/>
        </w:rPr>
        <w:t xml:space="preserve">Česká republika – Ministerstvo školství, mládeže a tělovýchovy </w:t>
      </w:r>
    </w:p>
    <w:p w14:paraId="381BECC1" w14:textId="77777777" w:rsidR="0020522E" w:rsidRPr="0020522E" w:rsidRDefault="0020522E" w:rsidP="0020522E">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tbl>
      <w:tblPr>
        <w:tblStyle w:val="TableGrid2"/>
        <w:tblW w:w="0" w:type="auto"/>
        <w:tblLook w:val="04A0" w:firstRow="1" w:lastRow="0" w:firstColumn="1" w:lastColumn="0" w:noHBand="0" w:noVBand="1"/>
      </w:tblPr>
      <w:tblGrid>
        <w:gridCol w:w="2625"/>
        <w:gridCol w:w="6435"/>
      </w:tblGrid>
      <w:tr w:rsidR="0020522E" w:rsidRPr="0020522E" w14:paraId="1E3AB982" w14:textId="77777777" w:rsidTr="00972326">
        <w:tc>
          <w:tcPr>
            <w:tcW w:w="2625" w:type="dxa"/>
          </w:tcPr>
          <w:p w14:paraId="22567178"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Se sídlem:</w:t>
            </w:r>
          </w:p>
        </w:tc>
        <w:tc>
          <w:tcPr>
            <w:tcW w:w="6435" w:type="dxa"/>
          </w:tcPr>
          <w:p w14:paraId="694BDBC3"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Karmelitská 529/5, 118 12 Praha 1</w:t>
            </w:r>
          </w:p>
        </w:tc>
      </w:tr>
      <w:tr w:rsidR="0020522E" w:rsidRPr="0020522E" w14:paraId="3ED7F47B" w14:textId="77777777" w:rsidTr="00972326">
        <w:trPr>
          <w:trHeight w:val="286"/>
        </w:trPr>
        <w:tc>
          <w:tcPr>
            <w:tcW w:w="2625" w:type="dxa"/>
            <w:vMerge w:val="restart"/>
          </w:tcPr>
          <w:p w14:paraId="4DEB78C2"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Jednající:</w:t>
            </w:r>
          </w:p>
        </w:tc>
        <w:tc>
          <w:tcPr>
            <w:tcW w:w="6435" w:type="dxa"/>
          </w:tcPr>
          <w:p w14:paraId="5D847DB8"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Ing. Narek Oganesjan, ředitel odboru informatiky</w:t>
            </w:r>
          </w:p>
        </w:tc>
      </w:tr>
      <w:tr w:rsidR="0020522E" w:rsidRPr="0020522E" w14:paraId="4E16E35B" w14:textId="77777777" w:rsidTr="00972326">
        <w:trPr>
          <w:trHeight w:val="286"/>
        </w:trPr>
        <w:tc>
          <w:tcPr>
            <w:tcW w:w="2625" w:type="dxa"/>
            <w:vMerge/>
          </w:tcPr>
          <w:p w14:paraId="7DCAD717"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p>
        </w:tc>
        <w:tc>
          <w:tcPr>
            <w:tcW w:w="6435" w:type="dxa"/>
          </w:tcPr>
          <w:p w14:paraId="69AA8756"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Bc. Jan Frisch, ředitel odboru technické pomoci</w:t>
            </w:r>
          </w:p>
        </w:tc>
      </w:tr>
      <w:tr w:rsidR="0020522E" w:rsidRPr="0020522E" w14:paraId="3EC095D1" w14:textId="77777777" w:rsidTr="00972326">
        <w:tc>
          <w:tcPr>
            <w:tcW w:w="2625" w:type="dxa"/>
          </w:tcPr>
          <w:p w14:paraId="5F1CF039"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IČO:</w:t>
            </w:r>
          </w:p>
        </w:tc>
        <w:tc>
          <w:tcPr>
            <w:tcW w:w="6435" w:type="dxa"/>
          </w:tcPr>
          <w:p w14:paraId="7438B690"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00022985</w:t>
            </w:r>
          </w:p>
        </w:tc>
      </w:tr>
      <w:tr w:rsidR="0020522E" w:rsidRPr="0020522E" w14:paraId="7F07DAAA" w14:textId="77777777" w:rsidTr="00972326">
        <w:tc>
          <w:tcPr>
            <w:tcW w:w="2625" w:type="dxa"/>
          </w:tcPr>
          <w:p w14:paraId="7D405527"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Bankovní spojení:</w:t>
            </w:r>
          </w:p>
        </w:tc>
        <w:tc>
          <w:tcPr>
            <w:tcW w:w="6435" w:type="dxa"/>
          </w:tcPr>
          <w:p w14:paraId="280FBE64"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ČNB</w:t>
            </w:r>
          </w:p>
        </w:tc>
      </w:tr>
      <w:tr w:rsidR="0020522E" w:rsidRPr="0020522E" w14:paraId="2ED69C34" w14:textId="77777777" w:rsidTr="00972326">
        <w:tc>
          <w:tcPr>
            <w:tcW w:w="2625" w:type="dxa"/>
          </w:tcPr>
          <w:p w14:paraId="6B5CB1E1"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Číslo účtu:</w:t>
            </w:r>
          </w:p>
        </w:tc>
        <w:tc>
          <w:tcPr>
            <w:tcW w:w="6435" w:type="dxa"/>
          </w:tcPr>
          <w:p w14:paraId="5E20E3F8"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821001/0710</w:t>
            </w:r>
          </w:p>
        </w:tc>
      </w:tr>
    </w:tbl>
    <w:p w14:paraId="7A333B12" w14:textId="77777777" w:rsidR="0020522E" w:rsidRPr="0020522E" w:rsidRDefault="0020522E" w:rsidP="0020522E">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20522E">
        <w:rPr>
          <w:rFonts w:ascii="Times New Roman" w:eastAsia="Calibri" w:hAnsi="Times New Roman" w:cs="Times New Roman"/>
          <w:kern w:val="0"/>
          <w:sz w:val="24"/>
          <w:szCs w:val="24"/>
          <w14:ligatures w14:val="none"/>
        </w:rPr>
        <w:t xml:space="preserve">(dále jen „Objednatel“) </w:t>
      </w:r>
    </w:p>
    <w:p w14:paraId="1A6E2CFC" w14:textId="77777777" w:rsidR="0020522E" w:rsidRPr="0020522E" w:rsidRDefault="0020522E" w:rsidP="0020522E">
      <w:pPr>
        <w:autoSpaceDE w:val="0"/>
        <w:autoSpaceDN w:val="0"/>
        <w:adjustRightInd w:val="0"/>
        <w:spacing w:after="0" w:line="240" w:lineRule="auto"/>
        <w:jc w:val="both"/>
        <w:rPr>
          <w:rFonts w:ascii="Calibri" w:eastAsia="Calibri" w:hAnsi="Calibri" w:cs="Calibri"/>
          <w:color w:val="000000"/>
          <w:kern w:val="0"/>
          <w:sz w:val="24"/>
          <w:szCs w:val="24"/>
          <w14:ligatures w14:val="none"/>
        </w:rPr>
      </w:pPr>
    </w:p>
    <w:p w14:paraId="0FC07460" w14:textId="77777777" w:rsidR="0020522E" w:rsidRPr="0020522E" w:rsidRDefault="0020522E" w:rsidP="0020522E">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p w14:paraId="653D3C86" w14:textId="77777777" w:rsidR="0020522E" w:rsidRPr="0020522E" w:rsidRDefault="0020522E" w:rsidP="0020522E">
      <w:pPr>
        <w:autoSpaceDE w:val="0"/>
        <w:autoSpaceDN w:val="0"/>
        <w:adjustRightInd w:val="0"/>
        <w:spacing w:after="0" w:line="240" w:lineRule="auto"/>
        <w:jc w:val="center"/>
        <w:rPr>
          <w:rFonts w:ascii="Calibri" w:eastAsia="Calibri" w:hAnsi="Calibri" w:cs="Calibri"/>
          <w:color w:val="000000"/>
          <w:kern w:val="0"/>
          <w:sz w:val="24"/>
          <w:szCs w:val="24"/>
          <w14:ligatures w14:val="none"/>
        </w:rPr>
      </w:pPr>
      <w:r w:rsidRPr="0020522E">
        <w:rPr>
          <w:rFonts w:ascii="Times New Roman" w:eastAsia="Calibri" w:hAnsi="Times New Roman" w:cs="Times New Roman"/>
          <w:kern w:val="0"/>
          <w:sz w:val="24"/>
          <w:szCs w:val="24"/>
          <w14:ligatures w14:val="none"/>
        </w:rPr>
        <w:br/>
      </w:r>
      <w:r w:rsidRPr="0020522E">
        <w:rPr>
          <w:rFonts w:ascii="Times New Roman" w:eastAsia="Calibri" w:hAnsi="Times New Roman" w:cs="Times New Roman"/>
          <w:b/>
          <w:kern w:val="0"/>
          <w:sz w:val="24"/>
          <w:szCs w:val="24"/>
          <w14:ligatures w14:val="none"/>
        </w:rPr>
        <w:t>a</w:t>
      </w:r>
    </w:p>
    <w:p w14:paraId="7947BC9D" w14:textId="77777777" w:rsidR="0020522E" w:rsidRPr="0020522E" w:rsidRDefault="0020522E" w:rsidP="0020522E">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501BCE5E" w14:textId="7BC70B8F" w:rsidR="0020522E" w:rsidRPr="0020522E" w:rsidRDefault="0020522E" w:rsidP="0020522E">
      <w:pPr>
        <w:autoSpaceDE w:val="0"/>
        <w:autoSpaceDN w:val="0"/>
        <w:adjustRightInd w:val="0"/>
        <w:spacing w:after="0" w:line="240" w:lineRule="auto"/>
        <w:ind w:firstLine="426"/>
        <w:rPr>
          <w:rFonts w:ascii="Times New Roman" w:eastAsia="Calibri" w:hAnsi="Times New Roman" w:cs="Times New Roman"/>
          <w:kern w:val="0"/>
          <w:sz w:val="24"/>
          <w:szCs w:val="24"/>
          <w14:ligatures w14:val="none"/>
        </w:rPr>
      </w:pPr>
      <w:r w:rsidRPr="0020522E">
        <w:rPr>
          <w:rFonts w:ascii="Times New Roman" w:eastAsia="Calibri" w:hAnsi="Times New Roman" w:cs="Times New Roman"/>
          <w:b/>
          <w:bCs/>
          <w:kern w:val="0"/>
          <w:sz w:val="24"/>
          <w:szCs w:val="24"/>
          <w14:ligatures w14:val="none"/>
        </w:rPr>
        <w:br/>
        <w:t xml:space="preserve">2. </w:t>
      </w:r>
      <w:r w:rsidRPr="0020522E">
        <w:rPr>
          <w:rFonts w:ascii="Times New Roman" w:eastAsia="Calibri" w:hAnsi="Times New Roman" w:cs="Times New Roman"/>
          <w:bCs/>
          <w:kern w:val="0"/>
          <w:sz w:val="24"/>
          <w:szCs w:val="24"/>
          <w14:ligatures w14:val="none"/>
        </w:rPr>
        <w:tab/>
      </w:r>
      <w:r w:rsidRPr="0020522E">
        <w:rPr>
          <w:rFonts w:ascii="Calibri" w:eastAsia="Calibri" w:hAnsi="Calibri" w:cs="Calibri"/>
          <w:color w:val="000000"/>
          <w:kern w:val="0"/>
          <w:sz w:val="24"/>
          <w:szCs w:val="24"/>
          <w:highlight w:val="yellow"/>
          <w14:ligatures w14:val="none"/>
        </w:rPr>
        <w:t>[</w:t>
      </w:r>
      <w:bookmarkStart w:id="2" w:name="_Hlk141348053"/>
      <w:r w:rsidR="00555B6D">
        <w:rPr>
          <w:rFonts w:ascii="Calibri" w:eastAsia="Calibri" w:hAnsi="Calibri" w:cs="Calibri"/>
          <w:color w:val="000000"/>
          <w:kern w:val="0"/>
          <w:sz w:val="24"/>
          <w:szCs w:val="24"/>
          <w:highlight w:val="yellow"/>
          <w14:ligatures w14:val="none"/>
        </w:rPr>
        <w:t>BUDE DOPLNĚNO</w:t>
      </w:r>
      <w:bookmarkEnd w:id="2"/>
      <w:r w:rsidRPr="0020522E">
        <w:rPr>
          <w:rFonts w:ascii="Calibri" w:eastAsia="Calibri" w:hAnsi="Calibri" w:cs="Calibri"/>
          <w:color w:val="000000"/>
          <w:kern w:val="0"/>
          <w:sz w:val="24"/>
          <w:szCs w:val="24"/>
          <w:highlight w:val="yellow"/>
          <w14:ligatures w14:val="none"/>
        </w:rPr>
        <w:t>]</w:t>
      </w:r>
    </w:p>
    <w:p w14:paraId="55C8C563" w14:textId="77777777" w:rsidR="0020522E" w:rsidRPr="0020522E" w:rsidRDefault="0020522E" w:rsidP="0020522E">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20522E">
        <w:rPr>
          <w:rFonts w:ascii="Times New Roman" w:eastAsia="Calibri" w:hAnsi="Times New Roman" w:cs="Times New Roman"/>
          <w:kern w:val="0"/>
          <w:sz w:val="24"/>
          <w:szCs w:val="24"/>
          <w14:ligatures w14:val="none"/>
        </w:rPr>
        <w:t xml:space="preserve"> </w:t>
      </w:r>
    </w:p>
    <w:tbl>
      <w:tblPr>
        <w:tblStyle w:val="TableGrid2"/>
        <w:tblW w:w="0" w:type="auto"/>
        <w:tblLook w:val="04A0" w:firstRow="1" w:lastRow="0" w:firstColumn="1" w:lastColumn="0" w:noHBand="0" w:noVBand="1"/>
      </w:tblPr>
      <w:tblGrid>
        <w:gridCol w:w="2630"/>
        <w:gridCol w:w="6430"/>
      </w:tblGrid>
      <w:tr w:rsidR="0020522E" w:rsidRPr="0020522E" w14:paraId="4EEB3FEB" w14:textId="77777777" w:rsidTr="00972326">
        <w:tc>
          <w:tcPr>
            <w:tcW w:w="2630" w:type="dxa"/>
          </w:tcPr>
          <w:p w14:paraId="12494D9F"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Se sídlem:</w:t>
            </w:r>
          </w:p>
        </w:tc>
        <w:tc>
          <w:tcPr>
            <w:tcW w:w="6430" w:type="dxa"/>
          </w:tcPr>
          <w:p w14:paraId="21337A65" w14:textId="1E13595F"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Calibri" w:eastAsia="Calibri" w:hAnsi="Calibri" w:cs="Calibri"/>
                <w:color w:val="000000"/>
                <w:sz w:val="24"/>
                <w:szCs w:val="24"/>
                <w:highlight w:val="yellow"/>
              </w:rPr>
              <w:t>[</w:t>
            </w:r>
            <w:r w:rsidR="00555B6D">
              <w:rPr>
                <w:rFonts w:ascii="Calibri" w:eastAsia="Calibri" w:hAnsi="Calibri" w:cs="Calibri"/>
                <w:color w:val="000000"/>
                <w:sz w:val="24"/>
                <w:szCs w:val="24"/>
                <w:highlight w:val="yellow"/>
              </w:rPr>
              <w:t>BUDE DOPLNĚNO</w:t>
            </w:r>
            <w:r w:rsidRPr="0020522E">
              <w:rPr>
                <w:rFonts w:ascii="Calibri" w:eastAsia="Calibri" w:hAnsi="Calibri" w:cs="Calibri"/>
                <w:color w:val="000000"/>
                <w:sz w:val="24"/>
                <w:szCs w:val="24"/>
                <w:highlight w:val="yellow"/>
              </w:rPr>
              <w:t>]</w:t>
            </w:r>
          </w:p>
        </w:tc>
      </w:tr>
      <w:tr w:rsidR="0020522E" w:rsidRPr="0020522E" w14:paraId="4D16ECB7" w14:textId="77777777" w:rsidTr="00972326">
        <w:trPr>
          <w:trHeight w:val="300"/>
        </w:trPr>
        <w:tc>
          <w:tcPr>
            <w:tcW w:w="2630" w:type="dxa"/>
          </w:tcPr>
          <w:p w14:paraId="3200024C"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Zastoupený:</w:t>
            </w:r>
          </w:p>
        </w:tc>
        <w:tc>
          <w:tcPr>
            <w:tcW w:w="6430" w:type="dxa"/>
          </w:tcPr>
          <w:p w14:paraId="4564F4FA" w14:textId="6758650E"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Calibri" w:eastAsia="Calibri" w:hAnsi="Calibri" w:cs="Calibri"/>
                <w:color w:val="000000"/>
                <w:sz w:val="24"/>
                <w:szCs w:val="24"/>
                <w:highlight w:val="yellow"/>
              </w:rPr>
              <w:t>[</w:t>
            </w:r>
            <w:r w:rsidR="00555B6D">
              <w:rPr>
                <w:rFonts w:ascii="Calibri" w:eastAsia="Calibri" w:hAnsi="Calibri" w:cs="Calibri"/>
                <w:color w:val="000000"/>
                <w:sz w:val="24"/>
                <w:szCs w:val="24"/>
                <w:highlight w:val="yellow"/>
              </w:rPr>
              <w:t>BUDE DOPLNĚNO</w:t>
            </w:r>
            <w:r w:rsidRPr="0020522E">
              <w:rPr>
                <w:rFonts w:ascii="Calibri" w:eastAsia="Calibri" w:hAnsi="Calibri" w:cs="Calibri"/>
                <w:color w:val="000000"/>
                <w:sz w:val="24"/>
                <w:szCs w:val="24"/>
                <w:highlight w:val="yellow"/>
              </w:rPr>
              <w:t>]</w:t>
            </w:r>
          </w:p>
        </w:tc>
      </w:tr>
      <w:tr w:rsidR="0020522E" w:rsidRPr="0020522E" w14:paraId="7C75D568" w14:textId="77777777" w:rsidTr="00972326">
        <w:tc>
          <w:tcPr>
            <w:tcW w:w="2630" w:type="dxa"/>
          </w:tcPr>
          <w:p w14:paraId="038416C7"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IČO:</w:t>
            </w:r>
          </w:p>
        </w:tc>
        <w:tc>
          <w:tcPr>
            <w:tcW w:w="6430" w:type="dxa"/>
          </w:tcPr>
          <w:p w14:paraId="7D6A9227" w14:textId="4529B83B"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Calibri" w:eastAsia="Calibri" w:hAnsi="Calibri" w:cs="Calibri"/>
                <w:color w:val="000000"/>
                <w:sz w:val="24"/>
                <w:szCs w:val="24"/>
                <w:highlight w:val="yellow"/>
              </w:rPr>
              <w:t>[</w:t>
            </w:r>
            <w:r w:rsidR="00555B6D">
              <w:rPr>
                <w:rFonts w:ascii="Calibri" w:eastAsia="Calibri" w:hAnsi="Calibri" w:cs="Calibri"/>
                <w:color w:val="000000"/>
                <w:sz w:val="24"/>
                <w:szCs w:val="24"/>
                <w:highlight w:val="yellow"/>
              </w:rPr>
              <w:t>BUDE DOPLNĚNO</w:t>
            </w:r>
            <w:r w:rsidRPr="0020522E">
              <w:rPr>
                <w:rFonts w:ascii="Calibri" w:eastAsia="Calibri" w:hAnsi="Calibri" w:cs="Calibri"/>
                <w:color w:val="000000"/>
                <w:sz w:val="24"/>
                <w:szCs w:val="24"/>
                <w:highlight w:val="yellow"/>
              </w:rPr>
              <w:t>]</w:t>
            </w:r>
          </w:p>
        </w:tc>
      </w:tr>
      <w:tr w:rsidR="0020522E" w:rsidRPr="0020522E" w14:paraId="079F6008" w14:textId="77777777" w:rsidTr="00972326">
        <w:tc>
          <w:tcPr>
            <w:tcW w:w="2630" w:type="dxa"/>
          </w:tcPr>
          <w:p w14:paraId="4F88DEB5"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DIČ:</w:t>
            </w:r>
          </w:p>
        </w:tc>
        <w:tc>
          <w:tcPr>
            <w:tcW w:w="6430" w:type="dxa"/>
          </w:tcPr>
          <w:p w14:paraId="50D49D32" w14:textId="6C8D89B8" w:rsidR="0020522E" w:rsidRPr="0020522E" w:rsidRDefault="0020522E" w:rsidP="0020522E">
            <w:pPr>
              <w:autoSpaceDE w:val="0"/>
              <w:autoSpaceDN w:val="0"/>
              <w:adjustRightInd w:val="0"/>
              <w:jc w:val="both"/>
              <w:rPr>
                <w:rFonts w:ascii="Times New Roman" w:eastAsia="Calibri" w:hAnsi="Times New Roman" w:cs="Times New Roman"/>
                <w:color w:val="000000"/>
                <w:sz w:val="24"/>
                <w:szCs w:val="24"/>
                <w:highlight w:val="yellow"/>
              </w:rPr>
            </w:pPr>
            <w:r w:rsidRPr="0020522E">
              <w:rPr>
                <w:rFonts w:ascii="Calibri" w:eastAsia="Calibri" w:hAnsi="Calibri" w:cs="Calibri"/>
                <w:color w:val="000000"/>
                <w:sz w:val="24"/>
                <w:szCs w:val="24"/>
                <w:highlight w:val="yellow"/>
              </w:rPr>
              <w:t>[</w:t>
            </w:r>
            <w:r w:rsidR="00555B6D">
              <w:rPr>
                <w:rFonts w:ascii="Calibri" w:eastAsia="Calibri" w:hAnsi="Calibri" w:cs="Calibri"/>
                <w:color w:val="000000"/>
                <w:sz w:val="24"/>
                <w:szCs w:val="24"/>
                <w:highlight w:val="yellow"/>
              </w:rPr>
              <w:t>BUDE DOPLNĚNO</w:t>
            </w:r>
            <w:r w:rsidRPr="0020522E">
              <w:rPr>
                <w:rFonts w:ascii="Calibri" w:eastAsia="Calibri" w:hAnsi="Calibri" w:cs="Calibri"/>
                <w:color w:val="000000"/>
                <w:sz w:val="24"/>
                <w:szCs w:val="24"/>
                <w:highlight w:val="yellow"/>
              </w:rPr>
              <w:t>]</w:t>
            </w:r>
          </w:p>
        </w:tc>
      </w:tr>
      <w:tr w:rsidR="0020522E" w:rsidRPr="0020522E" w14:paraId="5505D5FC" w14:textId="77777777" w:rsidTr="00972326">
        <w:tc>
          <w:tcPr>
            <w:tcW w:w="2630" w:type="dxa"/>
          </w:tcPr>
          <w:p w14:paraId="0833D6B8"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Bankovní spojení:</w:t>
            </w:r>
          </w:p>
        </w:tc>
        <w:tc>
          <w:tcPr>
            <w:tcW w:w="6430" w:type="dxa"/>
          </w:tcPr>
          <w:p w14:paraId="47C11315" w14:textId="0CE95354"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Calibri" w:eastAsia="Calibri" w:hAnsi="Calibri" w:cs="Calibri"/>
                <w:color w:val="000000"/>
                <w:sz w:val="24"/>
                <w:szCs w:val="24"/>
                <w:highlight w:val="yellow"/>
              </w:rPr>
              <w:t>[</w:t>
            </w:r>
            <w:r w:rsidR="00555B6D">
              <w:rPr>
                <w:rFonts w:ascii="Calibri" w:eastAsia="Calibri" w:hAnsi="Calibri" w:cs="Calibri"/>
                <w:color w:val="000000"/>
                <w:sz w:val="24"/>
                <w:szCs w:val="24"/>
                <w:highlight w:val="yellow"/>
              </w:rPr>
              <w:t>BUDE DOPLNĚNO</w:t>
            </w:r>
            <w:r w:rsidRPr="0020522E">
              <w:rPr>
                <w:rFonts w:ascii="Calibri" w:eastAsia="Calibri" w:hAnsi="Calibri" w:cs="Calibri"/>
                <w:color w:val="000000"/>
                <w:sz w:val="24"/>
                <w:szCs w:val="24"/>
                <w:highlight w:val="yellow"/>
              </w:rPr>
              <w:t>]</w:t>
            </w:r>
          </w:p>
        </w:tc>
      </w:tr>
      <w:tr w:rsidR="0020522E" w:rsidRPr="0020522E" w14:paraId="5AAB8F55" w14:textId="77777777" w:rsidTr="00972326">
        <w:tc>
          <w:tcPr>
            <w:tcW w:w="2630" w:type="dxa"/>
          </w:tcPr>
          <w:p w14:paraId="5BEEF7B7" w14:textId="77777777"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Times New Roman" w:eastAsia="Calibri" w:hAnsi="Times New Roman" w:cs="Times New Roman"/>
                <w:sz w:val="24"/>
                <w:szCs w:val="24"/>
              </w:rPr>
              <w:t>Číslo účtu:</w:t>
            </w:r>
          </w:p>
        </w:tc>
        <w:tc>
          <w:tcPr>
            <w:tcW w:w="6430" w:type="dxa"/>
          </w:tcPr>
          <w:p w14:paraId="79A21925" w14:textId="6E2E7E2D" w:rsidR="0020522E" w:rsidRPr="0020522E" w:rsidRDefault="0020522E" w:rsidP="0020522E">
            <w:pPr>
              <w:autoSpaceDE w:val="0"/>
              <w:autoSpaceDN w:val="0"/>
              <w:adjustRightInd w:val="0"/>
              <w:jc w:val="both"/>
              <w:rPr>
                <w:rFonts w:ascii="Times New Roman" w:eastAsia="Calibri" w:hAnsi="Times New Roman" w:cs="Times New Roman"/>
                <w:sz w:val="24"/>
                <w:szCs w:val="24"/>
              </w:rPr>
            </w:pPr>
            <w:r w:rsidRPr="0020522E">
              <w:rPr>
                <w:rFonts w:ascii="Calibri" w:eastAsia="Calibri" w:hAnsi="Calibri" w:cs="Calibri"/>
                <w:color w:val="000000"/>
                <w:sz w:val="24"/>
                <w:szCs w:val="24"/>
                <w:highlight w:val="yellow"/>
              </w:rPr>
              <w:t>[</w:t>
            </w:r>
            <w:r w:rsidR="00555B6D">
              <w:rPr>
                <w:rFonts w:ascii="Calibri" w:eastAsia="Calibri" w:hAnsi="Calibri" w:cs="Calibri"/>
                <w:color w:val="000000"/>
                <w:sz w:val="24"/>
                <w:szCs w:val="24"/>
                <w:highlight w:val="yellow"/>
              </w:rPr>
              <w:t>BUDE DOPLNĚNO</w:t>
            </w:r>
            <w:r w:rsidRPr="0020522E">
              <w:rPr>
                <w:rFonts w:ascii="Calibri" w:eastAsia="Calibri" w:hAnsi="Calibri" w:cs="Calibri"/>
                <w:color w:val="000000"/>
                <w:sz w:val="24"/>
                <w:szCs w:val="24"/>
                <w:highlight w:val="yellow"/>
              </w:rPr>
              <w:t>]</w:t>
            </w:r>
          </w:p>
        </w:tc>
      </w:tr>
    </w:tbl>
    <w:p w14:paraId="02A6A97E" w14:textId="1D95A4CB" w:rsidR="0020522E" w:rsidRPr="0020522E" w:rsidRDefault="0020522E" w:rsidP="0020522E">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20522E">
        <w:rPr>
          <w:rFonts w:ascii="Times New Roman" w:eastAsia="Calibri" w:hAnsi="Times New Roman" w:cs="Times New Roman"/>
          <w:color w:val="000000"/>
          <w:kern w:val="0"/>
          <w:sz w:val="24"/>
          <w:szCs w:val="24"/>
          <w14:ligatures w14:val="none"/>
        </w:rPr>
        <w:t xml:space="preserve">Společnost je zapsána v OR, vedeném </w:t>
      </w:r>
      <w:r w:rsidRPr="0020522E">
        <w:rPr>
          <w:rFonts w:ascii="Calibri" w:eastAsia="Calibri" w:hAnsi="Calibri" w:cs="Calibri"/>
          <w:color w:val="000000"/>
          <w:kern w:val="0"/>
          <w:sz w:val="24"/>
          <w:szCs w:val="24"/>
          <w:highlight w:val="yellow"/>
          <w14:ligatures w14:val="none"/>
        </w:rPr>
        <w:t>[</w:t>
      </w:r>
      <w:r w:rsidR="00555B6D">
        <w:rPr>
          <w:rFonts w:ascii="Calibri" w:eastAsia="Calibri" w:hAnsi="Calibri" w:cs="Calibri"/>
          <w:color w:val="000000"/>
          <w:kern w:val="0"/>
          <w:sz w:val="24"/>
          <w:szCs w:val="24"/>
          <w:highlight w:val="yellow"/>
          <w14:ligatures w14:val="none"/>
        </w:rPr>
        <w:t>BUDE DOPLNĚNO</w:t>
      </w:r>
      <w:r w:rsidRPr="0020522E">
        <w:rPr>
          <w:rFonts w:ascii="Calibri" w:eastAsia="Calibri" w:hAnsi="Calibri" w:cs="Calibri"/>
          <w:color w:val="000000"/>
          <w:kern w:val="0"/>
          <w:sz w:val="24"/>
          <w:szCs w:val="24"/>
          <w:highlight w:val="yellow"/>
          <w14:ligatures w14:val="none"/>
        </w:rPr>
        <w:t>]</w:t>
      </w:r>
      <w:r w:rsidRPr="0020522E">
        <w:rPr>
          <w:rFonts w:ascii="Times New Roman" w:eastAsia="Calibri" w:hAnsi="Times New Roman" w:cs="Times New Roman"/>
          <w:color w:val="000000"/>
          <w:kern w:val="0"/>
          <w:sz w:val="24"/>
          <w:szCs w:val="24"/>
          <w14:ligatures w14:val="none"/>
        </w:rPr>
        <w:t xml:space="preserve"> soudem v </w:t>
      </w:r>
      <w:r w:rsidRPr="0020522E">
        <w:rPr>
          <w:rFonts w:ascii="Calibri" w:eastAsia="Calibri" w:hAnsi="Calibri" w:cs="Calibri"/>
          <w:color w:val="000000"/>
          <w:kern w:val="0"/>
          <w:sz w:val="24"/>
          <w:szCs w:val="24"/>
          <w:highlight w:val="yellow"/>
          <w14:ligatures w14:val="none"/>
        </w:rPr>
        <w:t>[</w:t>
      </w:r>
      <w:r w:rsidR="00555B6D">
        <w:rPr>
          <w:rFonts w:ascii="Calibri" w:eastAsia="Calibri" w:hAnsi="Calibri" w:cs="Calibri"/>
          <w:color w:val="000000"/>
          <w:kern w:val="0"/>
          <w:sz w:val="24"/>
          <w:szCs w:val="24"/>
          <w:highlight w:val="yellow"/>
          <w14:ligatures w14:val="none"/>
        </w:rPr>
        <w:t>BUDE DOPLNĚNO</w:t>
      </w:r>
      <w:r w:rsidRPr="0020522E">
        <w:rPr>
          <w:rFonts w:ascii="Calibri" w:eastAsia="Calibri" w:hAnsi="Calibri" w:cs="Calibri"/>
          <w:color w:val="000000"/>
          <w:kern w:val="0"/>
          <w:sz w:val="24"/>
          <w:szCs w:val="24"/>
          <w:highlight w:val="yellow"/>
          <w14:ligatures w14:val="none"/>
        </w:rPr>
        <w:t>]</w:t>
      </w:r>
      <w:r w:rsidRPr="0020522E">
        <w:rPr>
          <w:rFonts w:ascii="Times New Roman" w:eastAsia="Calibri" w:hAnsi="Times New Roman" w:cs="Times New Roman"/>
          <w:color w:val="000000"/>
          <w:kern w:val="0"/>
          <w:sz w:val="24"/>
          <w:szCs w:val="24"/>
          <w14:ligatures w14:val="none"/>
        </w:rPr>
        <w:t xml:space="preserve">, oddíl </w:t>
      </w:r>
      <w:r w:rsidRPr="0020522E">
        <w:rPr>
          <w:rFonts w:ascii="Calibri" w:eastAsia="Calibri" w:hAnsi="Calibri" w:cs="Calibri"/>
          <w:color w:val="000000"/>
          <w:kern w:val="0"/>
          <w:sz w:val="24"/>
          <w:szCs w:val="24"/>
          <w:highlight w:val="yellow"/>
          <w14:ligatures w14:val="none"/>
        </w:rPr>
        <w:t>[</w:t>
      </w:r>
      <w:r w:rsidR="00555B6D">
        <w:rPr>
          <w:rFonts w:ascii="Calibri" w:eastAsia="Calibri" w:hAnsi="Calibri" w:cs="Calibri"/>
          <w:color w:val="000000"/>
          <w:kern w:val="0"/>
          <w:sz w:val="24"/>
          <w:szCs w:val="24"/>
          <w:highlight w:val="yellow"/>
          <w14:ligatures w14:val="none"/>
        </w:rPr>
        <w:t>BUDE DOPLNĚNO</w:t>
      </w:r>
      <w:r w:rsidRPr="0020522E">
        <w:rPr>
          <w:rFonts w:ascii="Calibri" w:eastAsia="Calibri" w:hAnsi="Calibri" w:cs="Calibri"/>
          <w:color w:val="000000"/>
          <w:kern w:val="0"/>
          <w:sz w:val="24"/>
          <w:szCs w:val="24"/>
          <w:highlight w:val="yellow"/>
          <w14:ligatures w14:val="none"/>
        </w:rPr>
        <w:t>]</w:t>
      </w:r>
      <w:r w:rsidRPr="0020522E">
        <w:rPr>
          <w:rFonts w:ascii="Times New Roman" w:eastAsia="Calibri" w:hAnsi="Times New Roman" w:cs="Times New Roman"/>
          <w:color w:val="000000"/>
          <w:kern w:val="0"/>
          <w:sz w:val="24"/>
          <w:szCs w:val="24"/>
          <w14:ligatures w14:val="none"/>
        </w:rPr>
        <w:t xml:space="preserve">, vložka </w:t>
      </w:r>
      <w:r w:rsidRPr="0020522E">
        <w:rPr>
          <w:rFonts w:ascii="Calibri" w:eastAsia="Calibri" w:hAnsi="Calibri" w:cs="Calibri"/>
          <w:color w:val="000000"/>
          <w:kern w:val="0"/>
          <w:sz w:val="24"/>
          <w:szCs w:val="24"/>
          <w:highlight w:val="yellow"/>
          <w14:ligatures w14:val="none"/>
        </w:rPr>
        <w:t>[</w:t>
      </w:r>
      <w:r w:rsidR="00555B6D">
        <w:rPr>
          <w:rFonts w:ascii="Calibri" w:eastAsia="Calibri" w:hAnsi="Calibri" w:cs="Calibri"/>
          <w:color w:val="000000"/>
          <w:kern w:val="0"/>
          <w:sz w:val="24"/>
          <w:szCs w:val="24"/>
          <w:highlight w:val="yellow"/>
          <w14:ligatures w14:val="none"/>
        </w:rPr>
        <w:t>BUDE DOPLNĚNO</w:t>
      </w:r>
      <w:r w:rsidRPr="0020522E">
        <w:rPr>
          <w:rFonts w:ascii="Calibri" w:eastAsia="Calibri" w:hAnsi="Calibri" w:cs="Calibri"/>
          <w:color w:val="000000"/>
          <w:kern w:val="0"/>
          <w:sz w:val="24"/>
          <w:szCs w:val="24"/>
          <w:highlight w:val="yellow"/>
          <w14:ligatures w14:val="none"/>
        </w:rPr>
        <w:t>]</w:t>
      </w:r>
      <w:r w:rsidRPr="0020522E">
        <w:rPr>
          <w:rFonts w:ascii="Times New Roman" w:eastAsia="Calibri" w:hAnsi="Times New Roman" w:cs="Times New Roman"/>
          <w:kern w:val="0"/>
          <w:sz w:val="24"/>
          <w:szCs w:val="24"/>
          <w14:ligatures w14:val="none"/>
        </w:rPr>
        <w:t xml:space="preserve"> </w:t>
      </w:r>
    </w:p>
    <w:p w14:paraId="4EC0F2AE" w14:textId="77777777" w:rsidR="0020522E" w:rsidRPr="0020522E" w:rsidRDefault="0020522E" w:rsidP="0020522E">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20522E">
        <w:rPr>
          <w:rFonts w:ascii="Times New Roman" w:eastAsia="Calibri" w:hAnsi="Times New Roman" w:cs="Times New Roman"/>
          <w:kern w:val="0"/>
          <w:sz w:val="24"/>
          <w:szCs w:val="24"/>
          <w14:ligatures w14:val="none"/>
        </w:rPr>
        <w:t xml:space="preserve">(dále jen „Poskytovatel“) </w:t>
      </w:r>
    </w:p>
    <w:bookmarkEnd w:id="1"/>
    <w:p w14:paraId="5B2AE7FC" w14:textId="77777777" w:rsidR="0020522E" w:rsidRPr="0020522E" w:rsidRDefault="0020522E" w:rsidP="0020522E">
      <w:pPr>
        <w:spacing w:after="0" w:line="276" w:lineRule="auto"/>
        <w:jc w:val="both"/>
        <w:rPr>
          <w:rFonts w:ascii="Times New Roman" w:eastAsia="Calibri" w:hAnsi="Times New Roman" w:cs="Times New Roman"/>
          <w:kern w:val="0"/>
          <w:sz w:val="24"/>
          <w:szCs w:val="24"/>
          <w14:ligatures w14:val="none"/>
        </w:rPr>
      </w:pPr>
    </w:p>
    <w:p w14:paraId="1812992C" w14:textId="77777777" w:rsidR="0020522E" w:rsidRPr="0020522E" w:rsidRDefault="0020522E" w:rsidP="0020522E">
      <w:pPr>
        <w:spacing w:after="200" w:line="276" w:lineRule="auto"/>
        <w:jc w:val="both"/>
        <w:rPr>
          <w:rFonts w:ascii="Times New Roman" w:eastAsia="Calibri" w:hAnsi="Times New Roman" w:cs="Times New Roman"/>
          <w:kern w:val="0"/>
          <w:sz w:val="24"/>
          <w:szCs w:val="24"/>
          <w14:ligatures w14:val="none"/>
        </w:rPr>
      </w:pPr>
      <w:r w:rsidRPr="0020522E">
        <w:rPr>
          <w:rFonts w:ascii="Times New Roman" w:eastAsia="Calibri" w:hAnsi="Times New Roman" w:cs="Times New Roman"/>
          <w:kern w:val="0"/>
          <w:sz w:val="24"/>
          <w:szCs w:val="24"/>
          <w14:ligatures w14:val="none"/>
        </w:rPr>
        <w:t>(dále společně označovány jako „Smluvní strany“ a jednotlivě jako „Smluvní strana“)</w:t>
      </w:r>
    </w:p>
    <w:p w14:paraId="1C8AF2AC" w14:textId="77777777" w:rsidR="0020522E" w:rsidRPr="0020522E" w:rsidRDefault="0020522E" w:rsidP="0020522E">
      <w:pPr>
        <w:spacing w:after="200" w:line="276" w:lineRule="auto"/>
        <w:jc w:val="both"/>
        <w:rPr>
          <w:rFonts w:ascii="Times New Roman" w:eastAsia="Calibri" w:hAnsi="Times New Roman" w:cs="Times New Roman"/>
          <w:kern w:val="0"/>
          <w:sz w:val="24"/>
          <w:szCs w:val="24"/>
          <w14:ligatures w14:val="none"/>
        </w:rPr>
        <w:sectPr w:rsidR="0020522E" w:rsidRPr="0020522E" w:rsidSect="00BC41BC">
          <w:headerReference w:type="default" r:id="rId8"/>
          <w:footerReference w:type="default" r:id="rId9"/>
          <w:pgSz w:w="11906" w:h="16838"/>
          <w:pgMar w:top="1418" w:right="1418" w:bottom="1627" w:left="1418" w:header="709" w:footer="709" w:gutter="0"/>
          <w:cols w:space="708"/>
          <w:docGrid w:linePitch="360"/>
        </w:sectPr>
      </w:pPr>
      <w:r w:rsidRPr="0020522E">
        <w:rPr>
          <w:rFonts w:ascii="Times New Roman" w:eastAsia="Calibri" w:hAnsi="Times New Roman" w:cs="Times New Roman"/>
          <w:kern w:val="0"/>
          <w:sz w:val="24"/>
          <w:szCs w:val="24"/>
          <w14:ligatures w14:val="none"/>
        </w:rPr>
        <w:t>uzavřely níže uvedeného dne, měsíce a roku tuto smlouvu o poskytování služeb (dále jen „Smlouva“)</w:t>
      </w:r>
    </w:p>
    <w:bookmarkEnd w:id="0"/>
    <w:p w14:paraId="63ED033B" w14:textId="198C611E" w:rsidR="0020522E" w:rsidRDefault="0020522E">
      <w:pPr>
        <w:rPr>
          <w:rFonts w:ascii="Times New Roman" w:eastAsiaTheme="majorEastAsia" w:hAnsi="Times New Roman" w:cstheme="majorBidi"/>
          <w:b/>
          <w:color w:val="767171" w:themeColor="background2" w:themeShade="80"/>
          <w:sz w:val="28"/>
          <w:szCs w:val="32"/>
        </w:rPr>
      </w:pPr>
    </w:p>
    <w:p w14:paraId="3DC3E263" w14:textId="020A65B8" w:rsidR="00E4581C" w:rsidRDefault="00E4581C" w:rsidP="006F1413">
      <w:pPr>
        <w:pStyle w:val="Nadpis1"/>
      </w:pPr>
      <w:r>
        <w:t>Úvodní ustanovení</w:t>
      </w:r>
    </w:p>
    <w:p w14:paraId="05FD6406" w14:textId="3A46A5EE" w:rsidR="00901C33" w:rsidRPr="00901C33" w:rsidRDefault="00901C33" w:rsidP="00901C33">
      <w:pPr>
        <w:pStyle w:val="Odstavec"/>
      </w:pPr>
      <w:r w:rsidRPr="00901C33">
        <w:t xml:space="preserve">Výše uvedené Smluvní strany uzavírají tuto Smlouvu na základě výsledků zadávacího řízení pro veřejnou zakázku </w:t>
      </w:r>
      <w:r w:rsidR="00250F98">
        <w:t xml:space="preserve">malého rozsahu </w:t>
      </w:r>
      <w:r w:rsidRPr="00901C33">
        <w:t>s názvem „Správa ATÚ a telefonních rozvodů“.</w:t>
      </w:r>
    </w:p>
    <w:p w14:paraId="60A7E0BA" w14:textId="2D7122B4" w:rsidR="00E4581C" w:rsidRPr="00E4581C" w:rsidRDefault="00901C33" w:rsidP="00901C33">
      <w:pPr>
        <w:pStyle w:val="Odstavec"/>
      </w:pPr>
      <w:r>
        <w:t>V rámci tohoto zadávacího řízení vystupoval Objednatel v pozici zadavatele a Poskytovatel v pozici dodavatele, jehož nabídka byla na základě provedeného hodnocení vybrána jako nejvhodnější.</w:t>
      </w:r>
    </w:p>
    <w:p w14:paraId="40EC6251" w14:textId="28A93D84" w:rsidR="00E4581C" w:rsidRDefault="00E4581C" w:rsidP="00E4581C">
      <w:pPr>
        <w:pStyle w:val="Nadpis1"/>
      </w:pPr>
      <w:r>
        <w:t>Předmět Smlouvy</w:t>
      </w:r>
    </w:p>
    <w:p w14:paraId="6A866CC3" w14:textId="131EE5DE" w:rsidR="00901C33" w:rsidRPr="00901C33" w:rsidRDefault="00901C33" w:rsidP="00901C33">
      <w:pPr>
        <w:pStyle w:val="Odstavec"/>
      </w:pPr>
      <w:r w:rsidRPr="00901C33">
        <w:t>Předmětem Smlouvy je zajištění prací správce systému pobočkových telefonních ústředen a správce telefonních rozvodů a přístrojů Objednatele. Tyto činnosti jsou blíže specifikovány v článku</w:t>
      </w:r>
      <w:r w:rsidR="004B1A67">
        <w:t xml:space="preserve"> 3</w:t>
      </w:r>
      <w:r w:rsidR="00EF131F">
        <w:t xml:space="preserve"> a v příloze č. 1 této Smlouvy</w:t>
      </w:r>
      <w:r w:rsidRPr="00901C33">
        <w:t>.</w:t>
      </w:r>
    </w:p>
    <w:p w14:paraId="25748F93" w14:textId="10A1DC03" w:rsidR="00E4581C" w:rsidRPr="00E4581C" w:rsidRDefault="00901C33" w:rsidP="00901C33">
      <w:pPr>
        <w:pStyle w:val="Odstavec"/>
      </w:pPr>
      <w:r w:rsidRPr="00901C33">
        <w:t>Plnění bude spočívat zejména ve vykonávání prací správce systému pobočkových telefonních ústředen a správce telefonních rozvodů a přístrojů umístěných v budovách Objednatele dle jeho aktuálních potřeb.</w:t>
      </w:r>
    </w:p>
    <w:p w14:paraId="47848B34" w14:textId="7FA9B835" w:rsidR="00E4581C" w:rsidRPr="00A34E7A" w:rsidRDefault="00E4581C" w:rsidP="00E4581C">
      <w:pPr>
        <w:pStyle w:val="Nadpis1"/>
      </w:pPr>
      <w:bookmarkStart w:id="3" w:name="_Způsob_plnění"/>
      <w:bookmarkEnd w:id="3"/>
      <w:r w:rsidRPr="00A34E7A">
        <w:t>Způsob plnění</w:t>
      </w:r>
    </w:p>
    <w:p w14:paraId="47A57AE3" w14:textId="0F4DD6AB" w:rsidR="00901C33" w:rsidRPr="00A34E7A" w:rsidRDefault="00901C33" w:rsidP="00901C33">
      <w:pPr>
        <w:pStyle w:val="Odstavec"/>
      </w:pPr>
      <w:r w:rsidRPr="00A34E7A">
        <w:t>Poskytovatel bude Objednateli zajišťovat provozuschopnost telefonního systému z technického hlediska, včetně plné návaznosti na poskytovatel</w:t>
      </w:r>
      <w:r w:rsidR="00EF131F" w:rsidRPr="00A34E7A">
        <w:t>e</w:t>
      </w:r>
      <w:r w:rsidRPr="00A34E7A">
        <w:t xml:space="preserve"> telefonního připojení.</w:t>
      </w:r>
      <w:r w:rsidR="008B4951" w:rsidRPr="00A34E7A">
        <w:rPr>
          <w:lang w:eastAsia="x-none"/>
        </w:rPr>
        <w:t xml:space="preserve"> </w:t>
      </w:r>
    </w:p>
    <w:p w14:paraId="31798722" w14:textId="6D0C4D19" w:rsidR="00E4581C" w:rsidRPr="00A34E7A" w:rsidRDefault="001E3058" w:rsidP="001E3058">
      <w:pPr>
        <w:pStyle w:val="Odstavec"/>
      </w:pPr>
      <w:r w:rsidRPr="00A34E7A">
        <w:t>Poskytovatel bude pro Objednatele zejména provádět:</w:t>
      </w:r>
    </w:p>
    <w:p w14:paraId="6FED0174" w14:textId="77777777" w:rsidR="001E3058" w:rsidRPr="00A34E7A" w:rsidRDefault="001E3058" w:rsidP="00C30D66">
      <w:pPr>
        <w:pStyle w:val="odstavec2"/>
        <w:ind w:left="1418" w:hanging="698"/>
      </w:pPr>
      <w:r w:rsidRPr="00A34E7A">
        <w:t>denní kontrolu provozu ústředen, kontrolu digitálních a analogových pozic a kontrolu vedení a kanálů pro zasíťování,</w:t>
      </w:r>
    </w:p>
    <w:p w14:paraId="4A190D0E" w14:textId="77777777" w:rsidR="001E3058" w:rsidRPr="00A34E7A" w:rsidRDefault="001E3058" w:rsidP="00C30D66">
      <w:pPr>
        <w:pStyle w:val="odstavec2"/>
        <w:ind w:left="1418" w:hanging="698"/>
      </w:pPr>
      <w:r w:rsidRPr="00A34E7A">
        <w:t>údržbu vedení a kabelových rozvodů ústředen, včetně přepojení poboček při stěhování pracovníků,</w:t>
      </w:r>
    </w:p>
    <w:p w14:paraId="6EB909CE" w14:textId="2E2598A9" w:rsidR="001E3058" w:rsidRPr="00A34E7A" w:rsidRDefault="001E3058" w:rsidP="00C30D66">
      <w:pPr>
        <w:pStyle w:val="odstavec2"/>
        <w:ind w:left="1418" w:hanging="698"/>
      </w:pPr>
      <w:r w:rsidRPr="00A34E7A">
        <w:t xml:space="preserve">servis a údržbu </w:t>
      </w:r>
      <w:proofErr w:type="spellStart"/>
      <w:r w:rsidR="00A73312">
        <w:t>Voice</w:t>
      </w:r>
      <w:proofErr w:type="spellEnd"/>
      <w:r w:rsidR="00A73312">
        <w:t xml:space="preserve"> </w:t>
      </w:r>
      <w:proofErr w:type="spellStart"/>
      <w:r w:rsidR="00A73312">
        <w:t>over</w:t>
      </w:r>
      <w:proofErr w:type="spellEnd"/>
      <w:r w:rsidR="00A73312">
        <w:t xml:space="preserve"> Internet </w:t>
      </w:r>
      <w:proofErr w:type="spellStart"/>
      <w:r w:rsidR="00A73312">
        <w:t>Protocol</w:t>
      </w:r>
      <w:proofErr w:type="spellEnd"/>
      <w:r w:rsidR="00A73312">
        <w:t xml:space="preserve"> (dále jen „</w:t>
      </w:r>
      <w:proofErr w:type="spellStart"/>
      <w:r w:rsidRPr="00A34E7A">
        <w:t>VoIP</w:t>
      </w:r>
      <w:proofErr w:type="spellEnd"/>
      <w:r w:rsidR="00A73312">
        <w:t>“)</w:t>
      </w:r>
      <w:r w:rsidRPr="00A34E7A">
        <w:t xml:space="preserve"> a digitálních a analogových telefonů napojených na tyto ústředny, včetně přepojení telefonních přístrojů při stěhování pracovníků,</w:t>
      </w:r>
    </w:p>
    <w:p w14:paraId="4BBA28E8" w14:textId="77777777" w:rsidR="001E3058" w:rsidRPr="00A34E7A" w:rsidRDefault="001E3058" w:rsidP="00C30D66">
      <w:pPr>
        <w:pStyle w:val="odstavec2"/>
        <w:ind w:left="1418" w:hanging="698"/>
      </w:pPr>
      <w:r w:rsidRPr="00A34E7A">
        <w:t>programování ústředen, nastavování parametrů linek, síťování a nastavování parametrů poboček, zřizování, změny a rušení linek a poboček,</w:t>
      </w:r>
    </w:p>
    <w:p w14:paraId="3FC03CE6" w14:textId="77777777" w:rsidR="001E3058" w:rsidRPr="00A34E7A" w:rsidRDefault="001E3058" w:rsidP="00C30D66">
      <w:pPr>
        <w:pStyle w:val="odstavec2"/>
        <w:ind w:left="1418" w:hanging="698"/>
      </w:pPr>
      <w:r w:rsidRPr="00A34E7A">
        <w:t>minimálně jednou měsíčně provedení zálohování databáze systémů PBX (</w:t>
      </w:r>
      <w:proofErr w:type="spellStart"/>
      <w:r w:rsidRPr="00A34E7A">
        <w:t>Private</w:t>
      </w:r>
      <w:proofErr w:type="spellEnd"/>
      <w:r w:rsidRPr="00A34E7A">
        <w:t xml:space="preserve"> </w:t>
      </w:r>
      <w:proofErr w:type="spellStart"/>
      <w:r w:rsidRPr="00A34E7A">
        <w:t>Branch</w:t>
      </w:r>
      <w:proofErr w:type="spellEnd"/>
      <w:r w:rsidRPr="00A34E7A">
        <w:t xml:space="preserve"> Exchange) a tarifikace,</w:t>
      </w:r>
    </w:p>
    <w:p w14:paraId="4CED1D9E" w14:textId="77777777" w:rsidR="001E3058" w:rsidRPr="00A34E7A" w:rsidRDefault="001E3058" w:rsidP="00C30D66">
      <w:pPr>
        <w:pStyle w:val="odstavec2"/>
        <w:ind w:left="1418" w:hanging="698"/>
      </w:pPr>
      <w:r w:rsidRPr="00A34E7A">
        <w:t>minimálně dvakrát ročně provedení revize předmětných pobočkových ústředen – kontrola karet, rozvodů, napojení baterií, napojení na silnoproud, včetně čištění a vysátí nečistot ze systému a vypracování revizního protokolu pro Objednatele z této revize,</w:t>
      </w:r>
    </w:p>
    <w:p w14:paraId="3F961CFA" w14:textId="77777777" w:rsidR="001E3058" w:rsidRPr="00A34E7A" w:rsidRDefault="001E3058" w:rsidP="001E3058">
      <w:pPr>
        <w:pStyle w:val="odstavec2"/>
      </w:pPr>
      <w:r w:rsidRPr="00A34E7A">
        <w:t>servis a údržbu dalších telekomunikačních zařízení napojených na tyto PBX,</w:t>
      </w:r>
    </w:p>
    <w:p w14:paraId="7CE26FD8" w14:textId="627B40A3" w:rsidR="001E3058" w:rsidRPr="00A34E7A" w:rsidRDefault="001E3058" w:rsidP="00ED64F9">
      <w:pPr>
        <w:pStyle w:val="odstavec2"/>
        <w:ind w:left="1418" w:hanging="698"/>
      </w:pPr>
      <w:r w:rsidRPr="00A34E7A">
        <w:t>administraci periferních zařízení (hlasová pošta, hlášky, music on hold, GSM</w:t>
      </w:r>
      <w:r w:rsidR="004B1A67" w:rsidRPr="00A34E7A">
        <w:t xml:space="preserve"> </w:t>
      </w:r>
      <w:r w:rsidRPr="00A34E7A">
        <w:t>brány atd.) a</w:t>
      </w:r>
    </w:p>
    <w:p w14:paraId="15E9A72F" w14:textId="77777777" w:rsidR="001E3058" w:rsidRPr="00A34E7A" w:rsidRDefault="001E3058" w:rsidP="004B1A67">
      <w:pPr>
        <w:pStyle w:val="odstavec2"/>
        <w:ind w:left="1418" w:hanging="698"/>
      </w:pPr>
      <w:r w:rsidRPr="00A34E7A">
        <w:t xml:space="preserve">opravy nebo zajištění oprav veškerých poruch výše uvedených zařízení. </w:t>
      </w:r>
    </w:p>
    <w:p w14:paraId="4E580717" w14:textId="78868BF6" w:rsidR="0010382F" w:rsidRDefault="00296B51" w:rsidP="0010382F">
      <w:pPr>
        <w:pStyle w:val="Odstavec"/>
      </w:pPr>
      <w:r w:rsidRPr="00296B51">
        <w:t>Předpokládaný měsíční rozsah prací uvedených pod písm. b) – d) a g) – i) bude přibližně činit 6</w:t>
      </w:r>
      <w:r w:rsidR="0034610B">
        <w:t>8</w:t>
      </w:r>
      <w:r w:rsidRPr="00296B51">
        <w:t xml:space="preserve"> hodin pro všechny objekty zadavatele (viz čl. </w:t>
      </w:r>
      <w:r w:rsidR="00A73312">
        <w:t>5</w:t>
      </w:r>
      <w:r w:rsidRPr="00296B51">
        <w:t xml:space="preserve">. odst. </w:t>
      </w:r>
      <w:r w:rsidR="00A73312">
        <w:t>5</w:t>
      </w:r>
      <w:r w:rsidRPr="00296B51">
        <w:t xml:space="preserve">.2. </w:t>
      </w:r>
      <w:r w:rsidR="00A73312">
        <w:t>Smlouvy</w:t>
      </w:r>
      <w:r w:rsidRPr="00296B51">
        <w:t xml:space="preserve">) s výjimkou objektu Harfa Office Park, kde </w:t>
      </w:r>
      <w:r>
        <w:t>nastanou</w:t>
      </w:r>
      <w:r w:rsidRPr="00296B51">
        <w:t xml:space="preserve"> dvě varianty (A </w:t>
      </w:r>
      <w:proofErr w:type="spellStart"/>
      <w:r w:rsidRPr="00296B51">
        <w:t>a</w:t>
      </w:r>
      <w:proofErr w:type="spellEnd"/>
      <w:r w:rsidRPr="00296B51">
        <w:t xml:space="preserve"> B) v návaznosti na plánované </w:t>
      </w:r>
      <w:r w:rsidRPr="00296B51">
        <w:lastRenderedPageBreak/>
        <w:t xml:space="preserve">omezení pevných linek, ke kterému dojde sloučením mobilních a pevných telefonních služeb pod jednoho operátora. Varianta A odpovídá objemu využívání pevných linek před plánovaným sloučením o předpokládaném měsíčním rozsahu prací ve výši 30 hodin. Varianta B pokrývá předpokládaný měsíční rozsah prací po plánovaném sloučení ve výši 12 hodin, přičemž přesný termín sloučení zatím není znám, protože závisí na výsledku souběžně připravované veřejné zakázky na služby operátorů pro pevné i mobilní telefonní služby kterou Zadavatel připravuje pod názvem „Telefonní operátor“ (dále také jen VZ Telefonní operátor). Předpoklad zadavatele, který může a nemusí být naplněn, jsou cca čtyři měsíce od nabytí účinnosti smlouvy vzešlé ze zadávacího řízení, k němuž se váže tato Výzva. </w:t>
      </w:r>
      <w:r w:rsidR="0010382F">
        <w:t xml:space="preserve">Činnost uvedenou v předchozím odstavci bude Poskytovatel provádět průběžně podle provozní potřeby nebo požadavků určeného zaměstnance Objednatele. Požadavky budou Poskytovateli zadávány emailem nebo prostřednictvím </w:t>
      </w:r>
      <w:proofErr w:type="spellStart"/>
      <w:r w:rsidR="0010382F">
        <w:t>service</w:t>
      </w:r>
      <w:proofErr w:type="spellEnd"/>
      <w:r w:rsidR="0010382F">
        <w:t xml:space="preserve"> desku Objednatele.</w:t>
      </w:r>
    </w:p>
    <w:p w14:paraId="2214CB22" w14:textId="77777777" w:rsidR="0010382F" w:rsidRDefault="0010382F" w:rsidP="0010382F">
      <w:pPr>
        <w:pStyle w:val="Odstavec"/>
      </w:pPr>
      <w:r>
        <w:t>Poskytovatel bude spravovat sklad náhradních dílů ústředen pro případnou okamžitou výměnu náhradního dílu, včetně bezplatného zapůjčení po dobu jeho opravy.</w:t>
      </w:r>
    </w:p>
    <w:p w14:paraId="12C19FA9" w14:textId="77777777" w:rsidR="0010382F" w:rsidRDefault="0010382F" w:rsidP="0010382F">
      <w:pPr>
        <w:pStyle w:val="Odstavec"/>
      </w:pPr>
      <w:bookmarkStart w:id="4" w:name="oprava_poruch"/>
      <w:r>
        <w:t>Poskytovatel</w:t>
      </w:r>
      <w:bookmarkEnd w:id="4"/>
      <w:r>
        <w:t xml:space="preserve"> se zavazuje, že započne s realizací opravy poruch nejpozději do:</w:t>
      </w:r>
    </w:p>
    <w:p w14:paraId="74EA1712" w14:textId="77777777" w:rsidR="0010382F" w:rsidRDefault="0010382F" w:rsidP="00ED64F9">
      <w:pPr>
        <w:pStyle w:val="odstavec2"/>
        <w:ind w:left="1418" w:hanging="698"/>
      </w:pPr>
      <w:r>
        <w:t>4 hodin od nahlášení poruchy v případě poruchy menšího rozsahu (např. odpojení účastnické karty, odpojené telefony apod.) nebo do</w:t>
      </w:r>
    </w:p>
    <w:p w14:paraId="53840307" w14:textId="77777777" w:rsidR="0010382F" w:rsidRDefault="0010382F" w:rsidP="00C30D66">
      <w:pPr>
        <w:pStyle w:val="odstavec2"/>
        <w:ind w:left="1418" w:hanging="646"/>
      </w:pPr>
      <w:r>
        <w:t>1 hodiny od nahlášení poruchy v případě úplného výpadku nebo výpadku velké části systému.</w:t>
      </w:r>
    </w:p>
    <w:p w14:paraId="2470DADF" w14:textId="088718E7" w:rsidR="0010382F" w:rsidRDefault="0010382F" w:rsidP="0010382F">
      <w:pPr>
        <w:pStyle w:val="odstavec2"/>
        <w:numPr>
          <w:ilvl w:val="0"/>
          <w:numId w:val="0"/>
        </w:numPr>
        <w:ind w:left="720"/>
      </w:pPr>
      <w:r w:rsidRPr="0010382F">
        <w:t>Tyto reakční doby mohou být prodlouženy pouze na základě prokazatelného souhlasu Objednatele.</w:t>
      </w:r>
    </w:p>
    <w:p w14:paraId="4B02DE96" w14:textId="534157FD" w:rsidR="00E4581C" w:rsidRDefault="00E4581C" w:rsidP="0010382F">
      <w:pPr>
        <w:pStyle w:val="Odstavec"/>
        <w:numPr>
          <w:ilvl w:val="0"/>
          <w:numId w:val="0"/>
        </w:numPr>
        <w:ind w:left="680" w:hanging="680"/>
      </w:pPr>
    </w:p>
    <w:p w14:paraId="4AD97CFC" w14:textId="0630B5BE" w:rsidR="0010382F" w:rsidRDefault="0010382F" w:rsidP="0010382F">
      <w:pPr>
        <w:pStyle w:val="Odstavec"/>
      </w:pPr>
      <w:bookmarkStart w:id="5" w:name="dodatecne_prace"/>
      <w:r>
        <w:t>Poskytovatel</w:t>
      </w:r>
      <w:bookmarkEnd w:id="5"/>
      <w:r>
        <w:t xml:space="preserve"> bude rovněž pro Objednatele vykonávat dodatečné práce, a to primárně v pracovní době (po – pá od 7 do 16 hod.), neurčí-li Objednatel jinak. Tyto dodatečné práce tvoří další činnosti, nespecifikované v </w:t>
      </w:r>
      <w:r w:rsidRPr="00ED64F9">
        <w:t xml:space="preserve">odst. </w:t>
      </w:r>
      <w:r w:rsidR="006F100F" w:rsidRPr="00ED64F9">
        <w:t>3.</w:t>
      </w:r>
      <w:r w:rsidRPr="00ED64F9">
        <w:t>2</w:t>
      </w:r>
      <w:r>
        <w:t xml:space="preserve"> tohoto článku</w:t>
      </w:r>
      <w:r w:rsidR="00A16255">
        <w:t xml:space="preserve"> Smlouvy</w:t>
      </w:r>
      <w:r>
        <w:t xml:space="preserve">, související s telekomunikační technikou podle potřeb Objednatele. </w:t>
      </w:r>
    </w:p>
    <w:p w14:paraId="149CBFB8" w14:textId="77777777" w:rsidR="0010382F" w:rsidRDefault="0010382F" w:rsidP="0010382F">
      <w:pPr>
        <w:pStyle w:val="Odstavec"/>
      </w:pPr>
      <w:r>
        <w:t>Případné dodatečné práce, stejně jako dodávky náhradních dílů, budou u Poskytovatele písemně objednávány.</w:t>
      </w:r>
    </w:p>
    <w:p w14:paraId="5C73A619" w14:textId="77777777" w:rsidR="0010382F" w:rsidRDefault="0010382F" w:rsidP="0010382F">
      <w:pPr>
        <w:pStyle w:val="Odstavec"/>
      </w:pPr>
      <w:r>
        <w:t>Objednávky musí obsahovat nejméně tyto náležitosti:</w:t>
      </w:r>
    </w:p>
    <w:p w14:paraId="2A9C058A" w14:textId="77777777" w:rsidR="0010382F" w:rsidRDefault="0010382F" w:rsidP="0010382F">
      <w:pPr>
        <w:pStyle w:val="odstavec2"/>
      </w:pPr>
      <w:r>
        <w:t>jednoznačná identifikace Objednatele a Poskytovatele,</w:t>
      </w:r>
    </w:p>
    <w:p w14:paraId="3E8D427E" w14:textId="77777777" w:rsidR="0010382F" w:rsidRDefault="0010382F" w:rsidP="0010382F">
      <w:pPr>
        <w:pStyle w:val="odstavec2"/>
      </w:pPr>
      <w:r>
        <w:t>specifikace objednávaného plnění,</w:t>
      </w:r>
    </w:p>
    <w:p w14:paraId="4C3CC0ED" w14:textId="77777777" w:rsidR="0010382F" w:rsidRDefault="0010382F" w:rsidP="0010382F">
      <w:pPr>
        <w:pStyle w:val="odstavec2"/>
      </w:pPr>
      <w:r>
        <w:t>místo a termín plnění,</w:t>
      </w:r>
    </w:p>
    <w:p w14:paraId="51C2262E" w14:textId="77777777" w:rsidR="0010382F" w:rsidRDefault="0010382F" w:rsidP="0010382F">
      <w:pPr>
        <w:pStyle w:val="odstavec2"/>
      </w:pPr>
      <w:r>
        <w:t>časový rozsah a maximální cena objednávaného plnění a</w:t>
      </w:r>
    </w:p>
    <w:p w14:paraId="203F83A3" w14:textId="77777777" w:rsidR="0010382F" w:rsidRDefault="0010382F" w:rsidP="0010382F">
      <w:pPr>
        <w:pStyle w:val="odstavec2"/>
      </w:pPr>
      <w:r>
        <w:t xml:space="preserve">případné doplňující informace či požadavky. </w:t>
      </w:r>
    </w:p>
    <w:p w14:paraId="02916920" w14:textId="77777777" w:rsidR="0010382F" w:rsidRPr="0010382F" w:rsidRDefault="0010382F" w:rsidP="0010382F">
      <w:pPr>
        <w:pStyle w:val="Odstavec"/>
      </w:pPr>
      <w:r w:rsidRPr="0010382F">
        <w:t>Poskytovatel je povinen dílčí objednávku potvrdit neprodleně, nejpozději však následující pracovní den po jejím doručení.</w:t>
      </w:r>
    </w:p>
    <w:p w14:paraId="1F7A915F" w14:textId="77777777" w:rsidR="0010382F" w:rsidRPr="0010382F" w:rsidRDefault="0010382F" w:rsidP="0010382F">
      <w:pPr>
        <w:pStyle w:val="Odstavec"/>
      </w:pPr>
      <w:r w:rsidRPr="0010382F">
        <w:t>Poskytovatel je oprávněn dílčí objednávku odmítnout nebo nepotvrdit jen ze závažných důvodů nespočívajících na jeho straně (např. zásah vyšší moci).</w:t>
      </w:r>
    </w:p>
    <w:p w14:paraId="3C27AB74" w14:textId="77777777" w:rsidR="0010382F" w:rsidRPr="0010382F" w:rsidRDefault="0010382F" w:rsidP="0010382F">
      <w:pPr>
        <w:pStyle w:val="Odstavec"/>
      </w:pPr>
      <w:r w:rsidRPr="0010382F">
        <w:t xml:space="preserve">Při předání a převzetí prací poskytnutých na základě objednávky bude Poskytovatelem předložen protokol o předání a převzetí prací (dále jen „Protokol“), který bude následně podepsán oběma Smluvními stranami. Protokol bude obsahovat rozpis hodin a seznam provedených úkonů a použitého materiálu. Poskytovatel bude oprávněn fakturovat cenu, která bude uvedena v Protokolu. Protokol bude vždy přílohou příslušné faktury. </w:t>
      </w:r>
    </w:p>
    <w:p w14:paraId="58E945A0" w14:textId="77777777" w:rsidR="0010382F" w:rsidRPr="0010382F" w:rsidRDefault="0010382F" w:rsidP="0010382F">
      <w:pPr>
        <w:pStyle w:val="Odstavec"/>
      </w:pPr>
      <w:r w:rsidRPr="0010382F">
        <w:lastRenderedPageBreak/>
        <w:t xml:space="preserve">Jestliže bude Protokol obsahovat nesprávné údaje, je Poskytovatel povinen provést do 5 pracovních dnů jeho opravu a následně opravený protokol předložit Objednateli k podpisu. </w:t>
      </w:r>
    </w:p>
    <w:p w14:paraId="42DD1232" w14:textId="4A6FEFCA" w:rsidR="00E4581C" w:rsidRDefault="00E4581C" w:rsidP="00E4581C">
      <w:pPr>
        <w:pStyle w:val="Nadpis1"/>
      </w:pPr>
      <w:bookmarkStart w:id="6" w:name="_Cena_a_platební"/>
      <w:bookmarkEnd w:id="6"/>
      <w:r>
        <w:t>Cena a platební podmínky</w:t>
      </w:r>
    </w:p>
    <w:p w14:paraId="14219B67" w14:textId="79E7D327" w:rsidR="006F1413" w:rsidRDefault="0010382F" w:rsidP="0010382F">
      <w:pPr>
        <w:pStyle w:val="Odstavec"/>
      </w:pPr>
      <w:r w:rsidRPr="0010382F">
        <w:t>Ceny za poskytované služby jsou stanoveny následovně:</w:t>
      </w:r>
    </w:p>
    <w:p w14:paraId="65BCE0FC" w14:textId="438AD744" w:rsidR="006F1413" w:rsidRDefault="0010382F" w:rsidP="0010382F">
      <w:pPr>
        <w:pStyle w:val="odstavec2"/>
      </w:pPr>
      <w:r w:rsidRPr="0010382F">
        <w:t xml:space="preserve">Paušální cena za provádění služeb dle </w:t>
      </w:r>
      <w:r w:rsidR="00B16C5E">
        <w:t xml:space="preserve">čl. 3. </w:t>
      </w:r>
      <w:r w:rsidR="0034610B" w:rsidRPr="008D39A0">
        <w:t>odst. 3.1. – 3.5</w:t>
      </w:r>
      <w:r w:rsidRPr="0010382F">
        <w:t>.</w:t>
      </w:r>
      <w:r w:rsidR="00B16C5E">
        <w:t xml:space="preserve"> Smlouvy</w:t>
      </w:r>
      <w:r w:rsidRPr="0010382F">
        <w:t>:</w:t>
      </w:r>
    </w:p>
    <w:p w14:paraId="6C987C65" w14:textId="4C548D79" w:rsidR="0010382F" w:rsidRDefault="0010382F" w:rsidP="00D3361D">
      <w:pPr>
        <w:pStyle w:val="odstavec2"/>
        <w:numPr>
          <w:ilvl w:val="3"/>
          <w:numId w:val="2"/>
        </w:numPr>
      </w:pPr>
      <w:r w:rsidRPr="0010382F">
        <w:t>paušální cena za provádění služeb v objektu Harfa Office Park</w:t>
      </w:r>
      <w:r w:rsidR="004B1A67">
        <w:t xml:space="preserve"> varianta A</w:t>
      </w:r>
      <w:r w:rsidRPr="0010382F">
        <w:t xml:space="preserve"> činí </w:t>
      </w:r>
      <w:r w:rsidRPr="0010382F">
        <w:rPr>
          <w:rFonts w:eastAsia="Times New Roman" w:cs="Times New Roman"/>
          <w:kern w:val="0"/>
          <w:szCs w:val="24"/>
          <w:highlight w:val="yellow"/>
          <w:lang w:eastAsia="ar-SA"/>
          <w14:ligatures w14:val="none"/>
        </w:rPr>
        <w:t>[</w:t>
      </w:r>
      <w:r w:rsidR="00555B6D">
        <w:rPr>
          <w:rFonts w:ascii="Calibri" w:eastAsia="Calibri" w:hAnsi="Calibri" w:cs="Calibri"/>
          <w:color w:val="000000"/>
          <w:kern w:val="0"/>
          <w:szCs w:val="24"/>
          <w:highlight w:val="yellow"/>
          <w14:ligatures w14:val="none"/>
        </w:rPr>
        <w:t>BUDE DOPLNĚNO</w:t>
      </w:r>
      <w:r w:rsidRPr="0010382F">
        <w:rPr>
          <w:rFonts w:eastAsia="Times New Roman" w:cs="Times New Roman"/>
          <w:kern w:val="0"/>
          <w:szCs w:val="24"/>
          <w:highlight w:val="yellow"/>
          <w:lang w:eastAsia="ar-SA"/>
          <w14:ligatures w14:val="none"/>
        </w:rPr>
        <w:t>]</w:t>
      </w:r>
      <w:r w:rsidRPr="0010382F">
        <w:t xml:space="preserve"> Kč/měsíc bez DPH,</w:t>
      </w:r>
    </w:p>
    <w:p w14:paraId="69B32219" w14:textId="62C44355" w:rsidR="004B1A67" w:rsidRDefault="004B1A67" w:rsidP="004B1A67">
      <w:pPr>
        <w:pStyle w:val="odstavec2"/>
        <w:numPr>
          <w:ilvl w:val="3"/>
          <w:numId w:val="2"/>
        </w:numPr>
      </w:pPr>
      <w:r w:rsidRPr="0010382F">
        <w:t>paušální cena za provádění služeb v objektu Harfa Office Park</w:t>
      </w:r>
      <w:r>
        <w:t xml:space="preserve"> varianta B</w:t>
      </w:r>
      <w:r w:rsidRPr="0010382F">
        <w:t xml:space="preserve"> činí </w:t>
      </w:r>
      <w:r w:rsidRPr="0010382F">
        <w:rPr>
          <w:rFonts w:eastAsia="Times New Roman" w:cs="Times New Roman"/>
          <w:kern w:val="0"/>
          <w:szCs w:val="24"/>
          <w:highlight w:val="yellow"/>
          <w:lang w:eastAsia="ar-SA"/>
          <w14:ligatures w14:val="none"/>
        </w:rPr>
        <w:t>[</w:t>
      </w:r>
      <w:r w:rsidR="00555B6D">
        <w:rPr>
          <w:rFonts w:ascii="Calibri" w:eastAsia="Calibri" w:hAnsi="Calibri" w:cs="Calibri"/>
          <w:color w:val="000000"/>
          <w:kern w:val="0"/>
          <w:szCs w:val="24"/>
          <w:highlight w:val="yellow"/>
          <w14:ligatures w14:val="none"/>
        </w:rPr>
        <w:t>BUDE DOPLNĚNO</w:t>
      </w:r>
      <w:r w:rsidRPr="0010382F">
        <w:rPr>
          <w:rFonts w:eastAsia="Times New Roman" w:cs="Times New Roman"/>
          <w:kern w:val="0"/>
          <w:szCs w:val="24"/>
          <w:highlight w:val="yellow"/>
          <w:lang w:eastAsia="ar-SA"/>
          <w14:ligatures w14:val="none"/>
        </w:rPr>
        <w:t>]</w:t>
      </w:r>
      <w:r w:rsidRPr="0010382F">
        <w:t xml:space="preserve"> Kč/měsíc bez DPH,</w:t>
      </w:r>
    </w:p>
    <w:p w14:paraId="20AD1086" w14:textId="1E57EEB2" w:rsidR="0010382F" w:rsidRPr="0010382F" w:rsidRDefault="0010382F" w:rsidP="00D3361D">
      <w:pPr>
        <w:pStyle w:val="Odstavecseseznamem"/>
        <w:numPr>
          <w:ilvl w:val="3"/>
          <w:numId w:val="2"/>
        </w:numPr>
        <w:jc w:val="both"/>
        <w:rPr>
          <w:rFonts w:ascii="Times New Roman" w:hAnsi="Times New Roman"/>
          <w:sz w:val="24"/>
        </w:rPr>
      </w:pPr>
      <w:r w:rsidRPr="0010382F">
        <w:rPr>
          <w:rFonts w:ascii="Times New Roman" w:hAnsi="Times New Roman"/>
          <w:sz w:val="24"/>
        </w:rPr>
        <w:t xml:space="preserve">paušální cena za provádění služeb v ostatních objektech v součtu činí </w:t>
      </w:r>
      <w:r w:rsidRPr="0010382F">
        <w:rPr>
          <w:rFonts w:ascii="Times New Roman" w:eastAsia="Times New Roman" w:hAnsi="Times New Roman" w:cs="Times New Roman"/>
          <w:kern w:val="0"/>
          <w:sz w:val="24"/>
          <w:szCs w:val="24"/>
          <w:highlight w:val="yellow"/>
          <w:lang w:eastAsia="ar-SA"/>
          <w14:ligatures w14:val="none"/>
        </w:rPr>
        <w:t>[</w:t>
      </w:r>
      <w:r w:rsidR="00555B6D">
        <w:rPr>
          <w:rFonts w:ascii="Calibri" w:eastAsia="Calibri" w:hAnsi="Calibri" w:cs="Calibri"/>
          <w:color w:val="000000"/>
          <w:kern w:val="0"/>
          <w:sz w:val="24"/>
          <w:szCs w:val="24"/>
          <w:highlight w:val="yellow"/>
          <w14:ligatures w14:val="none"/>
        </w:rPr>
        <w:t>BUDE DOPLNĚNO</w:t>
      </w:r>
      <w:r w:rsidRPr="0010382F">
        <w:rPr>
          <w:rFonts w:ascii="Times New Roman" w:eastAsia="Times New Roman" w:hAnsi="Times New Roman" w:cs="Times New Roman"/>
          <w:kern w:val="0"/>
          <w:sz w:val="24"/>
          <w:szCs w:val="24"/>
          <w:highlight w:val="yellow"/>
          <w:lang w:eastAsia="ar-SA"/>
          <w14:ligatures w14:val="none"/>
        </w:rPr>
        <w:t xml:space="preserve">] </w:t>
      </w:r>
      <w:r w:rsidRPr="0010382F">
        <w:rPr>
          <w:rFonts w:ascii="Times New Roman" w:hAnsi="Times New Roman"/>
          <w:sz w:val="24"/>
        </w:rPr>
        <w:t>Kč/měsíc bez DPH,</w:t>
      </w:r>
    </w:p>
    <w:p w14:paraId="64B0CC4A" w14:textId="5104A84B" w:rsidR="006F1413" w:rsidRDefault="0010382F" w:rsidP="0010382F">
      <w:pPr>
        <w:pStyle w:val="odstavec2"/>
      </w:pPr>
      <w:r w:rsidRPr="0010382F">
        <w:t>Cena za dodatečné práce dle</w:t>
      </w:r>
      <w:r w:rsidR="00C84365">
        <w:t xml:space="preserve"> </w:t>
      </w:r>
      <w:r w:rsidR="00B16C5E">
        <w:t xml:space="preserve">čl. 3. </w:t>
      </w:r>
      <w:r w:rsidR="0034610B" w:rsidRPr="008D39A0">
        <w:t>odst. 3.6.</w:t>
      </w:r>
      <w:r w:rsidR="00B16C5E">
        <w:rPr>
          <w:rStyle w:val="Hypertextovodkaz"/>
        </w:rPr>
        <w:t xml:space="preserve"> Smlouvy</w:t>
      </w:r>
      <w:r w:rsidRPr="0010382F">
        <w:t>:</w:t>
      </w:r>
    </w:p>
    <w:p w14:paraId="46A5741E" w14:textId="2E6CDBD6" w:rsidR="0010382F" w:rsidRDefault="0010382F" w:rsidP="00D3361D">
      <w:pPr>
        <w:pStyle w:val="odstavec2"/>
        <w:numPr>
          <w:ilvl w:val="3"/>
          <w:numId w:val="2"/>
        </w:numPr>
      </w:pPr>
      <w:r w:rsidRPr="0010382F">
        <w:t xml:space="preserve">cena za dodatečné práce v pracovní době činí </w:t>
      </w:r>
      <w:r w:rsidRPr="0010382F">
        <w:rPr>
          <w:rFonts w:eastAsia="Times New Roman" w:cs="Times New Roman"/>
          <w:kern w:val="0"/>
          <w:szCs w:val="24"/>
          <w:highlight w:val="yellow"/>
          <w:lang w:eastAsia="ar-SA"/>
          <w14:ligatures w14:val="none"/>
        </w:rPr>
        <w:t>[</w:t>
      </w:r>
      <w:r w:rsidR="00555B6D">
        <w:rPr>
          <w:rFonts w:ascii="Calibri" w:eastAsia="Calibri" w:hAnsi="Calibri" w:cs="Calibri"/>
          <w:color w:val="000000"/>
          <w:kern w:val="0"/>
          <w:szCs w:val="24"/>
          <w:highlight w:val="yellow"/>
          <w14:ligatures w14:val="none"/>
        </w:rPr>
        <w:t>BUDE DOPLNĚNO</w:t>
      </w:r>
      <w:r w:rsidRPr="0010382F">
        <w:rPr>
          <w:rFonts w:eastAsia="Times New Roman" w:cs="Times New Roman"/>
          <w:kern w:val="0"/>
          <w:szCs w:val="24"/>
          <w:highlight w:val="yellow"/>
          <w:lang w:eastAsia="ar-SA"/>
          <w14:ligatures w14:val="none"/>
        </w:rPr>
        <w:t>]</w:t>
      </w:r>
      <w:r w:rsidRPr="0010382F">
        <w:t xml:space="preserve"> Kč/hod. bez DPH a</w:t>
      </w:r>
    </w:p>
    <w:p w14:paraId="541C38AD" w14:textId="213A6AEC" w:rsidR="0010382F" w:rsidRPr="0010382F" w:rsidRDefault="0010382F" w:rsidP="00D3361D">
      <w:pPr>
        <w:pStyle w:val="Odstavecseseznamem"/>
        <w:numPr>
          <w:ilvl w:val="3"/>
          <w:numId w:val="2"/>
        </w:numPr>
        <w:jc w:val="both"/>
        <w:rPr>
          <w:rFonts w:ascii="Times New Roman" w:hAnsi="Times New Roman"/>
          <w:sz w:val="24"/>
        </w:rPr>
      </w:pPr>
      <w:r w:rsidRPr="0010382F">
        <w:rPr>
          <w:rFonts w:ascii="Times New Roman" w:hAnsi="Times New Roman"/>
          <w:sz w:val="24"/>
        </w:rPr>
        <w:t xml:space="preserve">cena za dodatečné práce mimo pracovní dobu činí </w:t>
      </w:r>
      <w:r w:rsidRPr="00D3361D">
        <w:rPr>
          <w:rFonts w:ascii="Times New Roman" w:eastAsia="Times New Roman" w:hAnsi="Times New Roman" w:cs="Times New Roman"/>
          <w:kern w:val="0"/>
          <w:sz w:val="24"/>
          <w:szCs w:val="24"/>
          <w:highlight w:val="yellow"/>
          <w:lang w:eastAsia="ar-SA"/>
          <w14:ligatures w14:val="none"/>
        </w:rPr>
        <w:t>[</w:t>
      </w:r>
      <w:r w:rsidR="00555B6D">
        <w:rPr>
          <w:rFonts w:ascii="Calibri" w:eastAsia="Calibri" w:hAnsi="Calibri" w:cs="Calibri"/>
          <w:color w:val="000000"/>
          <w:kern w:val="0"/>
          <w:sz w:val="24"/>
          <w:szCs w:val="24"/>
          <w:highlight w:val="yellow"/>
          <w14:ligatures w14:val="none"/>
        </w:rPr>
        <w:t>BUDE DOPLNĚNO</w:t>
      </w:r>
      <w:r w:rsidRPr="00D3361D">
        <w:rPr>
          <w:rFonts w:ascii="Times New Roman" w:eastAsia="Times New Roman" w:hAnsi="Times New Roman" w:cs="Times New Roman"/>
          <w:kern w:val="0"/>
          <w:sz w:val="24"/>
          <w:szCs w:val="24"/>
          <w:highlight w:val="yellow"/>
          <w:lang w:eastAsia="ar-SA"/>
          <w14:ligatures w14:val="none"/>
        </w:rPr>
        <w:t>]</w:t>
      </w:r>
      <w:r w:rsidRPr="0010382F">
        <w:rPr>
          <w:rFonts w:ascii="Times New Roman" w:hAnsi="Times New Roman"/>
          <w:sz w:val="24"/>
        </w:rPr>
        <w:t xml:space="preserve"> Kč/hod. bez DPH.</w:t>
      </w:r>
    </w:p>
    <w:p w14:paraId="1B879409" w14:textId="77777777" w:rsidR="00D3361D" w:rsidRPr="00876C39" w:rsidRDefault="00D3361D" w:rsidP="00D3361D">
      <w:pPr>
        <w:pStyle w:val="Odstavec"/>
      </w:pPr>
      <w:r w:rsidRPr="00876C39">
        <w:t xml:space="preserve">Ceny za dodatečné práce v i mimo pracovní dobu, jakož cena měsíčního paušálu za poskytování služeb ve všech lokalitách, zahrnují všechny náklady Poskytovatele, včetně kompenzace času stráveného na cestě, dopravného, parkovného apod. </w:t>
      </w:r>
    </w:p>
    <w:p w14:paraId="3B46CC07" w14:textId="74EFB452" w:rsidR="00D3361D" w:rsidRPr="006B437C" w:rsidRDefault="00D3361D" w:rsidP="00D3361D">
      <w:pPr>
        <w:pStyle w:val="Odstavec"/>
      </w:pPr>
      <w:r w:rsidRPr="006B437C">
        <w:t>Objednatel nevylučuje, že v průběhu účinnosti této Smlouvy dojde ke změně technologie nebo počtu pobočkových ústředen, aniž by tyto změny ovlivnily počty uživatelů</w:t>
      </w:r>
      <w:r w:rsidR="0047363B" w:rsidRPr="00545F98">
        <w:t>.</w:t>
      </w:r>
      <w:r w:rsidR="008446ED" w:rsidRPr="006B437C">
        <w:t xml:space="preserve"> </w:t>
      </w:r>
      <w:r w:rsidR="0047363B" w:rsidRPr="00545F98">
        <w:rPr>
          <w:szCs w:val="24"/>
        </w:rPr>
        <w:t>V</w:t>
      </w:r>
      <w:r w:rsidR="008446ED" w:rsidRPr="006B437C">
        <w:rPr>
          <w:szCs w:val="24"/>
        </w:rPr>
        <w:t xml:space="preserve">ýjimkou </w:t>
      </w:r>
      <w:r w:rsidR="0047363B" w:rsidRPr="00545F98">
        <w:rPr>
          <w:szCs w:val="24"/>
        </w:rPr>
        <w:t xml:space="preserve">je </w:t>
      </w:r>
      <w:r w:rsidR="008446ED" w:rsidRPr="006B437C">
        <w:rPr>
          <w:szCs w:val="24"/>
        </w:rPr>
        <w:t>přechod z varianty A na variantu B v objektu Harfa Office Park</w:t>
      </w:r>
      <w:r w:rsidR="0047363B" w:rsidRPr="00545F98">
        <w:rPr>
          <w:szCs w:val="24"/>
        </w:rPr>
        <w:t>, při němž se bude počet uživatelů měnit</w:t>
      </w:r>
      <w:r w:rsidRPr="006B437C">
        <w:t xml:space="preserve">. V tom případě Objednatel všechny změny Poskytovateli včas písemně oznámí. Tyto případné změny nebudou mít žádný dopad na výši cen dle </w:t>
      </w:r>
      <w:hyperlink w:anchor="_Cena_a_platební" w:history="1">
        <w:r w:rsidRPr="006B437C">
          <w:rPr>
            <w:rStyle w:val="Hypertextovodkaz"/>
          </w:rPr>
          <w:t xml:space="preserve">odst. </w:t>
        </w:r>
        <w:r w:rsidR="006F100F" w:rsidRPr="006B437C">
          <w:rPr>
            <w:rStyle w:val="Hypertextovodkaz"/>
          </w:rPr>
          <w:t>4.</w:t>
        </w:r>
        <w:r w:rsidRPr="006B437C">
          <w:rPr>
            <w:rStyle w:val="Hypertextovodkaz"/>
          </w:rPr>
          <w:t>1</w:t>
        </w:r>
      </w:hyperlink>
      <w:r w:rsidR="00B16C5E" w:rsidRPr="006B437C">
        <w:t>.</w:t>
      </w:r>
      <w:r w:rsidRPr="006B437C">
        <w:t xml:space="preserve"> tohoto článku</w:t>
      </w:r>
      <w:r w:rsidR="00B16C5E" w:rsidRPr="006B437C">
        <w:t xml:space="preserve"> Smlouvy</w:t>
      </w:r>
      <w:r w:rsidRPr="006B437C">
        <w:t xml:space="preserve"> a ceny tak zůstanou v tomto ohledu neměnné.</w:t>
      </w:r>
      <w:r w:rsidR="008B4951" w:rsidRPr="006B437C">
        <w:rPr>
          <w:lang w:val="en-US" w:eastAsia="x-none"/>
        </w:rPr>
        <w:t xml:space="preserve"> </w:t>
      </w:r>
    </w:p>
    <w:p w14:paraId="260DE935" w14:textId="77777777" w:rsidR="00D3361D" w:rsidRPr="00D3361D" w:rsidRDefault="00D3361D" w:rsidP="00D3361D">
      <w:pPr>
        <w:pStyle w:val="Odstavec"/>
      </w:pPr>
      <w:r w:rsidRPr="00D3361D">
        <w:t xml:space="preserve">Uvedené ceny jsou nejvýše přípustné a nelze je překročit, pokud to výslovně neupravuje tato Smlouva. Ceny obsahují veškeré náklady Poskytovatele nutné k realizaci předmětu plnění. </w:t>
      </w:r>
    </w:p>
    <w:p w14:paraId="7EB866B9" w14:textId="77777777" w:rsidR="00D3361D" w:rsidRPr="00D3361D" w:rsidRDefault="00D3361D" w:rsidP="00D3361D">
      <w:pPr>
        <w:pStyle w:val="Odstavec"/>
      </w:pPr>
      <w:r w:rsidRPr="00D3361D">
        <w:t>Za neměnný základ se považuje cena bez DPH. Sazba DPH bude účtována vždy v zákonné výši.</w:t>
      </w:r>
    </w:p>
    <w:p w14:paraId="40EC9376" w14:textId="77777777" w:rsidR="00D3361D" w:rsidRPr="00D3361D" w:rsidRDefault="00D3361D" w:rsidP="00D3361D">
      <w:pPr>
        <w:pStyle w:val="Odstavec"/>
      </w:pPr>
      <w:r w:rsidRPr="00D3361D">
        <w:t xml:space="preserve">Poskytovateli vznikne nárok na zaplacení ceny na základě skutečného rozsahu poskytovaných služeb a v závislosti na skutečném množství řádně realizovaných prací. </w:t>
      </w:r>
    </w:p>
    <w:p w14:paraId="4EE1E298" w14:textId="77777777" w:rsidR="00D3361D" w:rsidRPr="00D3361D" w:rsidRDefault="00D3361D" w:rsidP="00D3361D">
      <w:pPr>
        <w:pStyle w:val="Odstavec"/>
      </w:pPr>
      <w:r w:rsidRPr="00D3361D">
        <w:t xml:space="preserve">Ceny použitého materiálu musí být v místě a čase obvyklé. K porovnání cen součástek budou použity oficiální a platné velkoobchodní ceníky, jejichž dostupnost zajistí Poskytovatel. </w:t>
      </w:r>
    </w:p>
    <w:p w14:paraId="4ABED20F" w14:textId="01C56E30" w:rsidR="00D3361D" w:rsidRPr="00D3361D" w:rsidRDefault="00D3361D" w:rsidP="00D3361D">
      <w:pPr>
        <w:pStyle w:val="Odstavec"/>
      </w:pPr>
      <w:r w:rsidRPr="00D3361D">
        <w:t xml:space="preserve">Objednatel je oprávněn (nikoliv však povinen) vyčerpat k úhradě služeb finanční prostředky v maximální výši  </w:t>
      </w:r>
      <w:r w:rsidR="008446ED">
        <w:t>1 999 999</w:t>
      </w:r>
      <w:r w:rsidRPr="00D3361D">
        <w:t xml:space="preserve">,- Kč bez DPH. Poskytovateli nevzniká žádný nárok na vyčerpání celé této částky Objednatelem. </w:t>
      </w:r>
    </w:p>
    <w:p w14:paraId="158D786C" w14:textId="77777777" w:rsidR="00D3361D" w:rsidRPr="00D3361D" w:rsidRDefault="00D3361D" w:rsidP="00D3361D">
      <w:pPr>
        <w:pStyle w:val="Odstavec"/>
      </w:pPr>
      <w:r w:rsidRPr="00D3361D">
        <w:t xml:space="preserve">Cena uvedená v příslušné objednávce bude cenou předpokládanou za objednané služby. </w:t>
      </w:r>
    </w:p>
    <w:p w14:paraId="5AE1BCD9" w14:textId="08E6244C" w:rsidR="000B33DF" w:rsidRPr="000B33DF" w:rsidRDefault="00D3361D" w:rsidP="000B33DF">
      <w:pPr>
        <w:pStyle w:val="Odstavec"/>
      </w:pPr>
      <w:r w:rsidRPr="00D3361D">
        <w:lastRenderedPageBreak/>
        <w:t xml:space="preserve">Úhrada ceny bude provedena na základě daňových dokladů (faktur). Paušální cena bude fakturována každý měsíc ve stejné výši. Účtování dodatečných prací a použitého materiálu bude prováděno dle skutečného čerpání. Přílohou faktury bude vždy rozpis prací za fakturované období a v případě fakturování služeb poskytnutých na základě objednávky, bude přílohou faktury Protokol. </w:t>
      </w:r>
    </w:p>
    <w:p w14:paraId="12F49528" w14:textId="514FAA6C" w:rsidR="000B33DF" w:rsidRPr="000B33DF" w:rsidRDefault="000B33DF" w:rsidP="000B33DF">
      <w:pPr>
        <w:pStyle w:val="Odstavec"/>
      </w:pPr>
      <w:r w:rsidRPr="000B33DF">
        <w:t>Faktury mohou být zasílány elektronicky na e-mailovou adresu</w:t>
      </w:r>
      <w:r>
        <w:t xml:space="preserve">: </w:t>
      </w:r>
      <w:hyperlink r:id="rId10" w:history="1">
        <w:r w:rsidR="002A5299" w:rsidRPr="0045065A">
          <w:rPr>
            <w:rStyle w:val="Hypertextovodkaz"/>
          </w:rPr>
          <w:t>faktury@msmt.cz</w:t>
        </w:r>
      </w:hyperlink>
      <w:r>
        <w:t>.</w:t>
      </w:r>
    </w:p>
    <w:p w14:paraId="4BBDD64A" w14:textId="77777777" w:rsidR="000B33DF" w:rsidRPr="00D3361D" w:rsidRDefault="000B33DF">
      <w:pPr>
        <w:pStyle w:val="Odstavec"/>
        <w:numPr>
          <w:ilvl w:val="0"/>
          <w:numId w:val="0"/>
        </w:numPr>
      </w:pPr>
    </w:p>
    <w:p w14:paraId="23EBC925" w14:textId="43D6422E" w:rsidR="00D3361D" w:rsidRPr="00D3361D" w:rsidRDefault="00D3361D" w:rsidP="00D3361D">
      <w:pPr>
        <w:pStyle w:val="Odstavec"/>
      </w:pPr>
      <w:r w:rsidRPr="00D3361D">
        <w:t xml:space="preserve">Lhůta splatnosti faktur je stanovena na 30 kalendářních dnů ode dne doručení faktury Objednateli. Faktura musí obsahovat náležitosti stanovené v § 29 zákona č. 235/2004 Sb., o dani z přidané hodnoty. Pokud faktura neobsahuje všechny </w:t>
      </w:r>
      <w:r w:rsidR="00A16255">
        <w:t xml:space="preserve">zmíněným </w:t>
      </w:r>
      <w:r w:rsidRPr="00D3361D">
        <w:t xml:space="preserve">zákonem a Smlouvou stanovené náležitosti, je Objednatel oprávněn ji do data splatnosti vrátit s tím, že Poskytovatel poté doručí novou fakturu s novou lhůtou splatnosti. V takovém případě není Objednatel v prodlení s úhradou. </w:t>
      </w:r>
    </w:p>
    <w:p w14:paraId="2790554D" w14:textId="116F6E9D" w:rsidR="00D3361D" w:rsidRPr="00D3361D" w:rsidRDefault="00D3361D" w:rsidP="00D3361D">
      <w:pPr>
        <w:pStyle w:val="Odstavec"/>
      </w:pPr>
      <w:r w:rsidRPr="00D3361D">
        <w:t>Služby poskytnuté pro objekt Harfa</w:t>
      </w:r>
      <w:r w:rsidR="00D52748">
        <w:t xml:space="preserve"> Office Park</w:t>
      </w:r>
      <w:r w:rsidR="008446ED">
        <w:t>,</w:t>
      </w:r>
      <w:r w:rsidRPr="00D3361D">
        <w:t xml:space="preserve"> dle čl. </w:t>
      </w:r>
      <w:r w:rsidR="00D52748">
        <w:t>5.</w:t>
      </w:r>
      <w:r w:rsidRPr="00D3361D">
        <w:t xml:space="preserve"> odst. </w:t>
      </w:r>
      <w:r w:rsidR="0034610B" w:rsidRPr="008D39A0">
        <w:t>5.2. bod 5.2.h.</w:t>
      </w:r>
      <w:r w:rsidRPr="00D3361D">
        <w:t xml:space="preserve">  Smlouvy</w:t>
      </w:r>
      <w:r w:rsidR="008446ED">
        <w:t>,</w:t>
      </w:r>
      <w:r w:rsidRPr="00D3361D">
        <w:t xml:space="preserve"> budou fakturovány zvlášť a odděleně od služeb poskytnutých v jiných objektech Objednatele. Pro fakturaci služeb poskytovaných v objektu Harfa</w:t>
      </w:r>
      <w:r w:rsidR="00D52748">
        <w:t xml:space="preserve"> Office Park</w:t>
      </w:r>
      <w:r w:rsidRPr="00D3361D">
        <w:t xml:space="preserve"> dále platí ustanovení</w:t>
      </w:r>
      <w:r w:rsidR="006F100F">
        <w:t xml:space="preserve"> odstavce 4.14.</w:t>
      </w:r>
      <w:r w:rsidRPr="00D3361D">
        <w:t xml:space="preserve"> </w:t>
      </w:r>
      <w:r w:rsidR="008B4951" w:rsidRPr="00BA7C34">
        <w:rPr>
          <w:szCs w:val="24"/>
        </w:rPr>
        <w:t>.</w:t>
      </w:r>
    </w:p>
    <w:p w14:paraId="23F57DF5" w14:textId="4BDFA2E2" w:rsidR="00872A9B" w:rsidRPr="00872A9B" w:rsidRDefault="00D3361D" w:rsidP="00872A9B">
      <w:pPr>
        <w:pStyle w:val="Odstavec"/>
      </w:pPr>
      <w:r w:rsidRPr="00D3361D">
        <w:t>Faktura hrazená z finančních prostředků operační</w:t>
      </w:r>
      <w:r w:rsidR="005766E5">
        <w:t>ho</w:t>
      </w:r>
      <w:r w:rsidRPr="00D3361D">
        <w:t xml:space="preserve"> program</w:t>
      </w:r>
      <w:r w:rsidR="00D52748">
        <w:t>u Jan Amos Komenský (OP JAK)</w:t>
      </w:r>
      <w:r w:rsidRPr="00D3361D">
        <w:t xml:space="preserve"> bude označena </w:t>
      </w:r>
      <w:r w:rsidR="00D52748">
        <w:t xml:space="preserve">textem: </w:t>
      </w:r>
      <w:r w:rsidR="00872A9B">
        <w:t>h</w:t>
      </w:r>
      <w:r w:rsidR="00D52748">
        <w:t xml:space="preserve">razeno z prostředků </w:t>
      </w:r>
      <w:r w:rsidR="00872A9B">
        <w:t>technické pomoci</w:t>
      </w:r>
      <w:r w:rsidR="00D52748">
        <w:t xml:space="preserve"> OP JAK.</w:t>
      </w:r>
      <w:r w:rsidRPr="00D3361D">
        <w:t xml:space="preserve"> </w:t>
      </w:r>
      <w:r w:rsidR="00872A9B" w:rsidRPr="00872A9B">
        <w:rPr>
          <w:rFonts w:eastAsia="Times New Roman" w:cs="Times New Roman"/>
          <w:kern w:val="0"/>
          <w:szCs w:val="24"/>
          <w:lang w:eastAsia="ar-SA"/>
          <w14:ligatures w14:val="none"/>
        </w:rPr>
        <w:t xml:space="preserve"> </w:t>
      </w:r>
      <w:r w:rsidR="00872A9B" w:rsidRPr="00872A9B">
        <w:t xml:space="preserve">V případě změny operačního programu bude takováto změna Poskytovateli včas oznámena kontaktní osobou Objednatele. </w:t>
      </w:r>
    </w:p>
    <w:p w14:paraId="6725420A" w14:textId="1BEDEBAF" w:rsidR="00D3361D" w:rsidRPr="00D3361D" w:rsidRDefault="00D3361D">
      <w:pPr>
        <w:pStyle w:val="Odstavec"/>
        <w:numPr>
          <w:ilvl w:val="0"/>
          <w:numId w:val="0"/>
        </w:numPr>
      </w:pPr>
    </w:p>
    <w:p w14:paraId="1B635606" w14:textId="4ECAA4C9" w:rsidR="00D3361D" w:rsidRPr="00D3361D" w:rsidRDefault="00D3361D" w:rsidP="00D3361D">
      <w:pPr>
        <w:pStyle w:val="Odstavec"/>
      </w:pPr>
      <w:r w:rsidRPr="00D3361D">
        <w:t>Pokud termín doručení faktury Objednateli připadá na období od 16. prosince běžného roku do 12. února roku následujícího, prodlužuje se splatnost faktury z původních 30 dní na 60 dní.</w:t>
      </w:r>
    </w:p>
    <w:p w14:paraId="4CE7D63B" w14:textId="77777777" w:rsidR="00D3361D" w:rsidRPr="00D3361D" w:rsidRDefault="00D3361D" w:rsidP="00D3361D">
      <w:pPr>
        <w:pStyle w:val="Odstavec"/>
      </w:pPr>
      <w:r w:rsidRPr="00D3361D">
        <w:t xml:space="preserve">Objednatel nebude poskytovat žádné zálohové platby. </w:t>
      </w:r>
    </w:p>
    <w:p w14:paraId="75127C28" w14:textId="77777777" w:rsidR="00D3361D" w:rsidRPr="00D3361D" w:rsidRDefault="00D3361D" w:rsidP="00D3361D">
      <w:pPr>
        <w:pStyle w:val="Odstavec"/>
      </w:pPr>
      <w:r w:rsidRPr="00D3361D">
        <w:t>Platby budou realizovány výhradně v CZK. Objednatel uhradí fakturu bezhotovostně převodem na účet Poskytovatele. Za den uhrazení se považuje den, kdy byla finanční částka odepsána z účtu Objednatele a směruje na účet určený Poskytovatelem.</w:t>
      </w:r>
    </w:p>
    <w:p w14:paraId="61320BDB" w14:textId="77777777" w:rsidR="00D3361D" w:rsidRPr="00D3361D" w:rsidRDefault="00D3361D" w:rsidP="00D3361D">
      <w:pPr>
        <w:pStyle w:val="Odstavec"/>
      </w:pPr>
      <w:r w:rsidRPr="00D3361D">
        <w:t xml:space="preserve">Pokud Poskytovatel fakturuje poskytování služeb provedených na základě objednávek Objednatele, je povinen na faktuře rovněž vyznačit číslo objednávky přidělené Objednatelem. </w:t>
      </w:r>
    </w:p>
    <w:p w14:paraId="57FDBE2D" w14:textId="77777777" w:rsidR="00D3361D" w:rsidRDefault="00D3361D" w:rsidP="00D3361D">
      <w:pPr>
        <w:pStyle w:val="Odstavec"/>
      </w:pPr>
      <w:r w:rsidRPr="00D3361D">
        <w:t>V případě zjištěných a neprodleně neodstraněných nedostatků při plnění předmětu Smlouvy, které Objednatel Poskytovateli prokazatelně vytkl, má Objednatel právo na pozdržení nebo neposkytnutí platby Poskytovateli až do doby úplného odstranění takových nedostatků. Využití takového práva Objednatelem vylučuje jeho prodlení se splatností faktury.</w:t>
      </w:r>
    </w:p>
    <w:p w14:paraId="5BB71AED" w14:textId="77777777" w:rsidR="000B33DF" w:rsidRPr="001014FE" w:rsidRDefault="000B33DF" w:rsidP="000B33DF">
      <w:pPr>
        <w:pStyle w:val="Odstavec"/>
      </w:pPr>
      <w:r w:rsidRPr="001014FE">
        <w:t>Objednatel si vyhrazuje právo závazné pokyny k fakturaci dále upřesnit.</w:t>
      </w:r>
    </w:p>
    <w:p w14:paraId="5B1872D8" w14:textId="77777777" w:rsidR="000B33DF" w:rsidRPr="00D3361D" w:rsidRDefault="000B33DF" w:rsidP="00ED64F9">
      <w:pPr>
        <w:pStyle w:val="Odstavec"/>
        <w:numPr>
          <w:ilvl w:val="0"/>
          <w:numId w:val="0"/>
        </w:numPr>
        <w:ind w:left="680"/>
      </w:pPr>
    </w:p>
    <w:p w14:paraId="360FECDE" w14:textId="7256E304" w:rsidR="00E4581C" w:rsidRDefault="00E4581C" w:rsidP="00E4581C">
      <w:pPr>
        <w:pStyle w:val="Nadpis1"/>
      </w:pPr>
      <w:bookmarkStart w:id="7" w:name="_Doba_a_místo"/>
      <w:bookmarkEnd w:id="7"/>
      <w:r>
        <w:t>Doba a místo plnění</w:t>
      </w:r>
    </w:p>
    <w:p w14:paraId="66317A5F" w14:textId="3B75710B" w:rsidR="00D3361D" w:rsidRPr="00D3361D" w:rsidRDefault="00D3361D" w:rsidP="00D3361D">
      <w:pPr>
        <w:pStyle w:val="Odstavec"/>
      </w:pPr>
      <w:r w:rsidRPr="00D3361D">
        <w:t>Tato Smlouva se uzavírá na dobu</w:t>
      </w:r>
      <w:r w:rsidR="0011637D">
        <w:t xml:space="preserve"> od okamžiku její účinnosti do konce účinnosti související smlouvy vzešlé z VZ Telefonní operátor, nebo do vyčerpání finančních </w:t>
      </w:r>
      <w:r w:rsidR="0011637D">
        <w:lastRenderedPageBreak/>
        <w:t>prostředků v maximální výši 1 999 999 Kč bez DPH podle toho, která skutečnost nastane dříve.</w:t>
      </w:r>
      <w:r w:rsidRPr="00D3361D">
        <w:t xml:space="preserve"> </w:t>
      </w:r>
    </w:p>
    <w:p w14:paraId="62629371" w14:textId="02CCE612" w:rsidR="00D3361D" w:rsidRPr="00D3361D" w:rsidRDefault="00D3361D" w:rsidP="00D3361D">
      <w:pPr>
        <w:pStyle w:val="Odstavec"/>
      </w:pPr>
      <w:r w:rsidRPr="00D3361D">
        <w:t>Místem plnění je území České republiky, zejména území hl. m. Prahy. Plnění bude realizováno v objektech Objednatele na následujících adresách:</w:t>
      </w:r>
      <w:bookmarkStart w:id="8" w:name="_Hlk135314570"/>
      <w:r w:rsidR="008B4951" w:rsidRPr="008B4951">
        <w:rPr>
          <w:lang w:eastAsia="x-none"/>
        </w:rPr>
        <w:t xml:space="preserve"> </w:t>
      </w:r>
      <w:bookmarkEnd w:id="8"/>
      <w:r w:rsidRPr="00D3361D">
        <w:t xml:space="preserve"> </w:t>
      </w:r>
    </w:p>
    <w:p w14:paraId="6BEEDC11" w14:textId="77777777" w:rsidR="006F1413" w:rsidRDefault="006F1413" w:rsidP="006F1413">
      <w:pPr>
        <w:pStyle w:val="Odstavec"/>
        <w:numPr>
          <w:ilvl w:val="2"/>
          <w:numId w:val="2"/>
        </w:numPr>
        <w:sectPr w:rsidR="006F1413">
          <w:pgSz w:w="11906" w:h="16838"/>
          <w:pgMar w:top="1417" w:right="1417" w:bottom="1417" w:left="1417" w:header="708" w:footer="708" w:gutter="0"/>
          <w:cols w:space="708"/>
          <w:docGrid w:linePitch="360"/>
        </w:sectPr>
      </w:pPr>
    </w:p>
    <w:p w14:paraId="278F0E97" w14:textId="77777777" w:rsidR="00D3361D" w:rsidRPr="00D3361D" w:rsidRDefault="00D3361D" w:rsidP="0011637D">
      <w:pPr>
        <w:pStyle w:val="odstavec2"/>
        <w:ind w:left="1418" w:hanging="698"/>
        <w:rPr>
          <w:b/>
          <w:bCs/>
        </w:rPr>
      </w:pPr>
      <w:r w:rsidRPr="00D3361D">
        <w:rPr>
          <w:b/>
          <w:bCs/>
        </w:rPr>
        <w:t>Karmelitská 529/5, 118 12 Praha 1 – budovy B – F</w:t>
      </w:r>
    </w:p>
    <w:p w14:paraId="362F6E87" w14:textId="77777777" w:rsidR="00D3361D" w:rsidRPr="00D3361D" w:rsidRDefault="00D3361D" w:rsidP="0011637D">
      <w:pPr>
        <w:pStyle w:val="odstavec2"/>
        <w:ind w:left="1418" w:hanging="698"/>
        <w:rPr>
          <w:b/>
          <w:bCs/>
        </w:rPr>
      </w:pPr>
      <w:r w:rsidRPr="00D3361D">
        <w:rPr>
          <w:b/>
          <w:bCs/>
        </w:rPr>
        <w:t>Karmelitská 386/8, 118 12 Praha 1 – budova A</w:t>
      </w:r>
    </w:p>
    <w:p w14:paraId="54B0094F" w14:textId="77777777" w:rsidR="00D3361D" w:rsidRPr="00D3361D" w:rsidRDefault="00D3361D" w:rsidP="0011637D">
      <w:pPr>
        <w:pStyle w:val="odstavec2"/>
        <w:ind w:left="1418" w:hanging="698"/>
        <w:rPr>
          <w:b/>
          <w:bCs/>
        </w:rPr>
      </w:pPr>
      <w:r w:rsidRPr="00D3361D">
        <w:rPr>
          <w:b/>
          <w:bCs/>
        </w:rPr>
        <w:t xml:space="preserve">Karmelitská 378/17, 118 12 Praha 1 </w:t>
      </w:r>
    </w:p>
    <w:p w14:paraId="0061F47E" w14:textId="77777777" w:rsidR="00D3361D" w:rsidRPr="00D3361D" w:rsidRDefault="00D3361D" w:rsidP="0011637D">
      <w:pPr>
        <w:pStyle w:val="odstavec2"/>
        <w:ind w:left="1418" w:hanging="698"/>
        <w:rPr>
          <w:b/>
          <w:bCs/>
        </w:rPr>
      </w:pPr>
      <w:r w:rsidRPr="00D3361D">
        <w:rPr>
          <w:b/>
          <w:bCs/>
        </w:rPr>
        <w:t>U Lužického semináře 90/13, 118 12 Praha 1</w:t>
      </w:r>
    </w:p>
    <w:p w14:paraId="48ED429D" w14:textId="77777777" w:rsidR="00D3361D" w:rsidRPr="00D3361D" w:rsidRDefault="00D3361D" w:rsidP="0011637D">
      <w:pPr>
        <w:pStyle w:val="odstavec2"/>
        <w:ind w:left="1418" w:hanging="698"/>
        <w:rPr>
          <w:b/>
          <w:bCs/>
        </w:rPr>
      </w:pPr>
      <w:r w:rsidRPr="00D3361D">
        <w:rPr>
          <w:b/>
          <w:bCs/>
        </w:rPr>
        <w:t>Senovážné náměstí 977/24, 110 00 Praha 1</w:t>
      </w:r>
    </w:p>
    <w:p w14:paraId="51216DC2" w14:textId="77777777" w:rsidR="00D3361D" w:rsidRPr="00D3361D" w:rsidRDefault="00D3361D" w:rsidP="00F13FE9">
      <w:pPr>
        <w:pStyle w:val="odstavec2"/>
        <w:ind w:left="1418" w:hanging="709"/>
        <w:rPr>
          <w:b/>
          <w:bCs/>
        </w:rPr>
      </w:pPr>
      <w:r w:rsidRPr="00D3361D">
        <w:rPr>
          <w:b/>
          <w:bCs/>
        </w:rPr>
        <w:t>Senovážné náměstí 871/26, 110 00 Praha 1</w:t>
      </w:r>
    </w:p>
    <w:p w14:paraId="0A7C82D9" w14:textId="77777777" w:rsidR="00D3361D" w:rsidRPr="00D3361D" w:rsidRDefault="00D3361D" w:rsidP="0011637D">
      <w:pPr>
        <w:pStyle w:val="odstavec2"/>
        <w:ind w:left="1418" w:hanging="698"/>
        <w:rPr>
          <w:b/>
          <w:bCs/>
        </w:rPr>
      </w:pPr>
      <w:r w:rsidRPr="00D3361D">
        <w:rPr>
          <w:b/>
          <w:bCs/>
        </w:rPr>
        <w:t>Jankovcova 933/63, 170 00 Praha 7 – objekt CERMAT</w:t>
      </w:r>
    </w:p>
    <w:p w14:paraId="65B46A5D" w14:textId="77777777" w:rsidR="00D3361D" w:rsidRPr="00D3361D" w:rsidRDefault="00D3361D" w:rsidP="00DE6890">
      <w:pPr>
        <w:pStyle w:val="odstavec2"/>
        <w:ind w:left="1418" w:hanging="698"/>
        <w:rPr>
          <w:b/>
          <w:bCs/>
        </w:rPr>
      </w:pPr>
      <w:r w:rsidRPr="00D3361D">
        <w:rPr>
          <w:b/>
          <w:bCs/>
        </w:rPr>
        <w:t>Českomoravská 2420/15, 190 00 Praha 9 – Harfa Office Park</w:t>
      </w:r>
    </w:p>
    <w:p w14:paraId="457D69B1" w14:textId="77777777" w:rsidR="006F1413" w:rsidRDefault="006F1413" w:rsidP="00D3361D">
      <w:pPr>
        <w:pStyle w:val="Odstavec"/>
        <w:numPr>
          <w:ilvl w:val="0"/>
          <w:numId w:val="0"/>
        </w:numPr>
        <w:sectPr w:rsidR="006F1413" w:rsidSect="006F1413">
          <w:type w:val="continuous"/>
          <w:pgSz w:w="11906" w:h="16838"/>
          <w:pgMar w:top="1417" w:right="1417" w:bottom="1417" w:left="1417" w:header="708" w:footer="708" w:gutter="0"/>
          <w:cols w:num="2" w:space="708"/>
          <w:docGrid w:linePitch="360"/>
        </w:sectPr>
      </w:pPr>
    </w:p>
    <w:p w14:paraId="7869F039" w14:textId="77777777" w:rsidR="00D3361D" w:rsidRPr="00D3361D" w:rsidRDefault="00D3361D" w:rsidP="00D3361D">
      <w:pPr>
        <w:pStyle w:val="Odstavec"/>
      </w:pPr>
      <w:r w:rsidRPr="00D3361D">
        <w:t>Pokud bude plnění probíhat na základě písemné objednávky, bude adresa vždy specifikována v předmětné objednávce.</w:t>
      </w:r>
    </w:p>
    <w:p w14:paraId="1331C51A" w14:textId="2938B936" w:rsidR="00D3361D" w:rsidRPr="00D3361D" w:rsidRDefault="00D3361D" w:rsidP="00D3361D">
      <w:pPr>
        <w:pStyle w:val="Odstavec"/>
      </w:pPr>
      <w:r w:rsidRPr="00D3361D">
        <w:t xml:space="preserve">Objednatel upozorňuje, že v době účinnosti této Smlouvy může dojít, např. vlivem stěhování některých pracovišť, k odebrání některých stávajících nebo naopak přidání některých </w:t>
      </w:r>
      <w:r w:rsidR="007E6077">
        <w:t>dalších</w:t>
      </w:r>
      <w:r w:rsidR="007E6077" w:rsidRPr="00D3361D">
        <w:t xml:space="preserve"> </w:t>
      </w:r>
      <w:r w:rsidRPr="00D3361D">
        <w:t xml:space="preserve">objektů. Takovou změnu Objednatel Poskytovateli včas písemně oznámí. Dodatek ke Smlouvě se v tomto případě nevyžaduje. </w:t>
      </w:r>
    </w:p>
    <w:p w14:paraId="1BFEDF49" w14:textId="4CACE172" w:rsidR="00E4581C" w:rsidRDefault="00E4581C" w:rsidP="00E4581C">
      <w:pPr>
        <w:pStyle w:val="Nadpis1"/>
      </w:pPr>
      <w:r>
        <w:t>Práva a povinnosti Smluvních stran</w:t>
      </w:r>
    </w:p>
    <w:p w14:paraId="1E96BC05" w14:textId="77777777" w:rsidR="00050430" w:rsidRDefault="00050430" w:rsidP="00050430">
      <w:pPr>
        <w:pStyle w:val="Odstavec"/>
      </w:pPr>
      <w:r>
        <w:t xml:space="preserve">Poskytovatel je povinen postupovat při plnění předmětu Smlouvy s odbornou péčí tak, aby bylo dosaženo cíle a účelu plnění, jež je předmětem této Smlouvy. Poskytovatel se zavazuje poskytovat plnění předmětu Smlouvy včas (dodržovat stanovené termíny dle dílčích objednávek) a v požadované kvalitě a množství a řádně plnit požadavky uvedené v dílčích objednávkách. </w:t>
      </w:r>
    </w:p>
    <w:p w14:paraId="17B7D805" w14:textId="77777777" w:rsidR="00050430" w:rsidRDefault="00050430" w:rsidP="00050430">
      <w:pPr>
        <w:pStyle w:val="Odstavec"/>
      </w:pPr>
      <w:r>
        <w:t xml:space="preserve">Poskytovatel je povinen neprodleně informovat Objednatele o všech okolnostech majících vliv na řádné a včasné provedení dílčího plnění. </w:t>
      </w:r>
    </w:p>
    <w:p w14:paraId="02E7073F" w14:textId="7C8B32A4" w:rsidR="00050430" w:rsidRDefault="00050430" w:rsidP="00050430">
      <w:pPr>
        <w:pStyle w:val="Odstavec"/>
      </w:pPr>
      <w:r>
        <w:t>Poskytovatel je povinen Objednatele včas informovat o všech podstatných legislativních změnách a nových nařízení</w:t>
      </w:r>
      <w:r w:rsidR="006C2717">
        <w:t>ch</w:t>
      </w:r>
      <w:r>
        <w:t xml:space="preserve">, které se budou týkat předmětu plnění. </w:t>
      </w:r>
    </w:p>
    <w:p w14:paraId="4966F2FB" w14:textId="1B01A5D0" w:rsidR="00050430" w:rsidRDefault="00050430" w:rsidP="00050430">
      <w:pPr>
        <w:pStyle w:val="Odstavec"/>
      </w:pPr>
      <w:r>
        <w:t>Objednatel se zavazuje Poskytovateli poskytovat včas úplné informace a předkládat mu veškerou potřebnou dokumentaci nutnou k řádnému plnění předmětu této Smlouvy a poskytnout mu veškerou potřebnou součinnost.</w:t>
      </w:r>
    </w:p>
    <w:p w14:paraId="0D845EC7" w14:textId="77777777" w:rsidR="00050430" w:rsidRDefault="00050430" w:rsidP="00050430">
      <w:pPr>
        <w:pStyle w:val="Odstavec"/>
      </w:pPr>
      <w:r>
        <w:t>Objednatel se zavazuje zajistit průběžnou dostupnost kontaktního pracovníka pro potřeby konzultací s pověřeným pracovníkem Poskytovatele.</w:t>
      </w:r>
    </w:p>
    <w:p w14:paraId="2A34B8BC" w14:textId="77777777" w:rsidR="00050430" w:rsidRDefault="00050430" w:rsidP="00050430">
      <w:pPr>
        <w:pStyle w:val="Odstavec"/>
      </w:pPr>
      <w:r>
        <w:t>Poskytovatel se, mimo jiné, zavazuje k plnění následujících závazků:</w:t>
      </w:r>
    </w:p>
    <w:p w14:paraId="1EF43306" w14:textId="77777777" w:rsidR="00050430" w:rsidRDefault="00050430" w:rsidP="00DE6890">
      <w:pPr>
        <w:pStyle w:val="odstavec2"/>
        <w:ind w:left="1418" w:hanging="698"/>
      </w:pPr>
      <w:r>
        <w:t>zákaz postoupení pohledávky Poskytovatele vůči Objednateli jakékoli třetí osobě a</w:t>
      </w:r>
    </w:p>
    <w:p w14:paraId="195635DD" w14:textId="77777777" w:rsidR="00050430" w:rsidRDefault="00050430" w:rsidP="00F13FE9">
      <w:pPr>
        <w:pStyle w:val="odstavec2"/>
        <w:ind w:left="1418" w:hanging="698"/>
      </w:pPr>
      <w:r>
        <w:t>zajištění maximální flexibility při plnění předmětu Smlouvy, zejména při řešení odůvodněných potřeb Objednatele, které vyplynou v průběhu trvání Smlouvy.</w:t>
      </w:r>
    </w:p>
    <w:p w14:paraId="6E96E225" w14:textId="4714B860" w:rsidR="00050430" w:rsidRPr="00050430" w:rsidRDefault="00050430" w:rsidP="00050430">
      <w:pPr>
        <w:pStyle w:val="Odstavec"/>
      </w:pPr>
      <w:r w:rsidRPr="00050430">
        <w:t>Poskytovatel je povinen nahradit Objednateli způsobenou škodu, bez ohledu na to, zda</w:t>
      </w:r>
      <w:r>
        <w:t xml:space="preserve"> </w:t>
      </w:r>
      <w:r w:rsidRPr="00050430">
        <w:t>ji způsobil sám či poddodavatel Poskytovatelem použitý pro poskytnutí dílčího plnění Smlouvy.</w:t>
      </w:r>
    </w:p>
    <w:p w14:paraId="0942B7C7" w14:textId="0B87B136" w:rsidR="00050430" w:rsidRPr="00050430" w:rsidRDefault="00050430" w:rsidP="00050430">
      <w:pPr>
        <w:pStyle w:val="Odstavec"/>
      </w:pPr>
      <w:r w:rsidRPr="00050430">
        <w:lastRenderedPageBreak/>
        <w:t>Poskytovatel je povinen chránit a prosazovat práva a oprávněné zájmy Objednatele a řídit</w:t>
      </w:r>
      <w:r>
        <w:t xml:space="preserve"> </w:t>
      </w:r>
      <w:r w:rsidRPr="00050430">
        <w:t>se jeho pokyny. Pokyny Objednatele však není vázán, jsou-li v rozporu s právními předpisy. Poskytovatel se zavazuje oznámit Objednateli všechny okolnosti, jež zjistil při plnění předmětu Smlouvy, které mohou mít vliv na změnu pokynů Objednatele.</w:t>
      </w:r>
    </w:p>
    <w:p w14:paraId="54640675" w14:textId="77777777" w:rsidR="00050430" w:rsidRDefault="00050430" w:rsidP="00050430">
      <w:pPr>
        <w:pStyle w:val="Odstavec"/>
      </w:pPr>
      <w:r w:rsidRPr="00050430">
        <w:t>Objednatel je povinen řádně a včas zaplatit za dodané plnění ze strany Poskytovatele.</w:t>
      </w:r>
    </w:p>
    <w:p w14:paraId="5F910424" w14:textId="677C2189" w:rsidR="00050430" w:rsidRPr="00050430" w:rsidRDefault="00050430" w:rsidP="00050430">
      <w:pPr>
        <w:pStyle w:val="Odstavec"/>
      </w:pPr>
      <w:r w:rsidRPr="00050430">
        <w:t xml:space="preserve">Objednatel se zavazuje poskytnout maximální možnou součinnost nezbytnou k řádnému plnění předmětu Smlouvy. </w:t>
      </w:r>
    </w:p>
    <w:p w14:paraId="1BC8B6CF" w14:textId="6226BBB2" w:rsidR="00E4581C" w:rsidRDefault="00E4581C" w:rsidP="00E4581C">
      <w:pPr>
        <w:pStyle w:val="Nadpis1"/>
      </w:pPr>
      <w:r>
        <w:t>Důvěrnost informací</w:t>
      </w:r>
    </w:p>
    <w:p w14:paraId="1627B49E" w14:textId="77777777" w:rsidR="00050430" w:rsidRPr="00050430" w:rsidRDefault="00050430" w:rsidP="00050430">
      <w:pPr>
        <w:pStyle w:val="Odstavec"/>
      </w:pPr>
      <w:r w:rsidRPr="00050430">
        <w:t>Poskytovatel se zavazuje během plnění předmětu Smlouvy i po uplynutí doby, na kterou je Smlouvy uzavřena, zachovávat mlčenlivost o všech skutečnostech, o kterých se při plnění předmětu Smlouvy dozví, a nakládat s nimi jako s důvěrnými (s výjimkou informací, které již byly veřejně publikovány).</w:t>
      </w:r>
    </w:p>
    <w:p w14:paraId="0C48D224" w14:textId="112667A3" w:rsidR="00050430" w:rsidRPr="00050430" w:rsidRDefault="00050430" w:rsidP="00050430">
      <w:pPr>
        <w:pStyle w:val="Odstavec"/>
      </w:pPr>
      <w:r w:rsidRPr="00050430">
        <w:t>Poskytovatel se zavazuje, že pokud v souvislosti s realizací této Smlouvy při plnění svých povinností přijdou jeho pověření zaměstnanci do styku s osobními údaji ve smyslu Nařízení Evropského parlamentu a Rady EU 2016/679 ze dne 26. dubna 2016, o ochraně fyzických osob v souvislosti se zpracováním osobních údajů a o volném pohybu těchto údajů a o zrušení směrnice 95/46/ES, obecné nařízení o ochraně osobních údajů (dále jen „GDPR“), ve znění pozdějších předpisů, učiní veškerá opatření, aby nedošlo k neoprávněnému nebo nahodilému přístupu k těmto údajům, jejich změně, zničení či ztrátě, neoprávněným přenosům, k jejich neoprávněnému zpracování, jakož aby i jinak neporušil t</w:t>
      </w:r>
      <w:r w:rsidR="00840FD7">
        <w:t>oto nařízení</w:t>
      </w:r>
      <w:r w:rsidRPr="00050430">
        <w:t xml:space="preserve">. Poskytovatel nese plnou odpovědnost za případné porušení </w:t>
      </w:r>
      <w:r w:rsidR="00840FD7">
        <w:t xml:space="preserve">uvedeného nařízení </w:t>
      </w:r>
      <w:r w:rsidRPr="00050430">
        <w:t xml:space="preserve"> z jeho strany.</w:t>
      </w:r>
    </w:p>
    <w:p w14:paraId="60B26028" w14:textId="77777777" w:rsidR="00050430" w:rsidRPr="00050430" w:rsidRDefault="00050430" w:rsidP="00050430">
      <w:pPr>
        <w:pStyle w:val="Odstavec"/>
      </w:pPr>
      <w:r w:rsidRPr="00050430">
        <w:t xml:space="preserve">Poskytovatel není oprávněn jakkoliv využít informace, údaje a dokumentaci, které mu byly zpřístupněny v souvislosti s poskytováním služeb, ve prospěch svůj nebo ve prospěch jiné osoby. Poskytovatel je povinen dodržovat tyto povinnosti také po ukončení smluvního vztahu mezi Objednatelem a Poskytovatelem až do doby, kdy bude těchto povinností zproštěn. </w:t>
      </w:r>
    </w:p>
    <w:p w14:paraId="361FB766" w14:textId="77777777" w:rsidR="00050430" w:rsidRPr="00050430" w:rsidRDefault="00050430" w:rsidP="00050430">
      <w:pPr>
        <w:pStyle w:val="Odstavec"/>
      </w:pPr>
      <w:r w:rsidRPr="00050430">
        <w:t>Poskytovatel je povinen učinit veškerá nezbytná opatření k ochraně informací a údajů zpřístupněných Objednatelem.</w:t>
      </w:r>
    </w:p>
    <w:p w14:paraId="7E19DB04" w14:textId="02FB96A0" w:rsidR="00E4581C" w:rsidRDefault="00E4581C" w:rsidP="00E4581C">
      <w:pPr>
        <w:pStyle w:val="Nadpis1"/>
      </w:pPr>
      <w:r>
        <w:t>Finanční kontrola, uchování dokladů a podkladů</w:t>
      </w:r>
    </w:p>
    <w:p w14:paraId="6AFB19A6" w14:textId="77777777" w:rsidR="00050430" w:rsidRPr="00050430" w:rsidRDefault="00050430" w:rsidP="00050430">
      <w:pPr>
        <w:pStyle w:val="Odstavec"/>
      </w:pPr>
      <w:r w:rsidRPr="00050430">
        <w:t>Poskytovatel je povinen, jako osoba povinná, spolupůsobit při výkonu finanční kontroly dle § 2 písm. e) zákona č. 320/2001 Sb., o finanční kontrole ve veřejné správě a o změně některých zákonů (zákon o finanční kontrole), ve znění pozdějších předpisů.</w:t>
      </w:r>
    </w:p>
    <w:p w14:paraId="3E13F0A3" w14:textId="77777777" w:rsidR="00050430" w:rsidRPr="00050430" w:rsidRDefault="00050430" w:rsidP="00050430">
      <w:pPr>
        <w:pStyle w:val="Odstavec"/>
      </w:pPr>
      <w:r w:rsidRPr="00050430">
        <w:t xml:space="preserve">Poskytovatel poskytne Objednateli či oprávněným orgánům maximální možnou součinnost při provádění kontroly projektu(ů), z něhož je plnění Smlouvy hrazeno. Zejména předloží na vyžádání doklady vztahující se k předmětu Smlouvy a doloží další významné skutečnosti požadované Objednatelem či oprávněným orgánem. </w:t>
      </w:r>
    </w:p>
    <w:p w14:paraId="586FCED6" w14:textId="40EB6A31" w:rsidR="004352E5" w:rsidRPr="004352E5" w:rsidRDefault="004352E5" w:rsidP="004352E5">
      <w:pPr>
        <w:pStyle w:val="Odstavec"/>
      </w:pPr>
      <w:r w:rsidRPr="004352E5">
        <w:t xml:space="preserve">Poskytovatel poskytne Objednateli či oprávněným orgánům maximální možnou součinnost při provádění kontroly projektu, z něhož je plnění Smlouvy hrazeno, zejména předloží na vyžádání doklady vztahující se k předmětu Smlouvy a doloží další významné skutečnosti požadované Objednatelem či oprávněným orgánem. Poskytovatel je povinen umožnit Objednateli či oprávněným orgánům výkon práva kontroly, a to po celou dobu, po kterou je to vyžadováno </w:t>
      </w:r>
      <w:r w:rsidR="00C67501">
        <w:t xml:space="preserve">závaznými pravidly </w:t>
      </w:r>
      <w:r w:rsidRPr="004352E5">
        <w:t xml:space="preserve"> daného operačního programu případně jinými předpisy EU nebo ČR, tj. např. pro OP JAK do 31. 12. 2040. Po tuto dobu je také </w:t>
      </w:r>
      <w:r w:rsidRPr="004352E5">
        <w:lastRenderedPageBreak/>
        <w:t>povinen zajistit i archivaci dokladů vztahující se k předmětu Smlouvy. V případě, že dojde k financování plnění z této Smlouvy z dalšího operačního programu (programů), vyhrazuje si Objednatel požadavek příslušnou archivační lhůtu, včetně práv kontroly, dále prodloužit, a to v závislosti na aktuálních předpisech konkrétního programu. V případě, že taková potřeba nastane, bude Poskytovatel ze strany Objednatele o tomto písemně informován. Poskytovatel se v takovém případě zavazuje se s příslušnou změnou seznámit a respektovat ji.</w:t>
      </w:r>
    </w:p>
    <w:p w14:paraId="40F43505" w14:textId="08CE2E60" w:rsidR="00E4581C" w:rsidRDefault="00E4581C" w:rsidP="00E4581C">
      <w:pPr>
        <w:pStyle w:val="Nadpis1"/>
      </w:pPr>
      <w:r>
        <w:t>Odpovědnost za vady, záruka za kvalitu plnění</w:t>
      </w:r>
    </w:p>
    <w:p w14:paraId="18D13C37" w14:textId="77777777" w:rsidR="00050430" w:rsidRPr="00050430" w:rsidRDefault="00050430" w:rsidP="00050430">
      <w:pPr>
        <w:pStyle w:val="Odstavec"/>
      </w:pPr>
      <w:r w:rsidRPr="00050430">
        <w:t>Poskytovatel odpovídá Objednateli za to, že plnění podle této Smlouvy nebude mít vady. Na dodaný materiál i na poskytnuté služby poskytuje Poskytovatel záruční dobu v délce nejméně 24 měsíců.</w:t>
      </w:r>
    </w:p>
    <w:p w14:paraId="2DFFD1B0" w14:textId="77777777" w:rsidR="00050430" w:rsidRPr="00050430" w:rsidRDefault="00050430" w:rsidP="00050430">
      <w:pPr>
        <w:pStyle w:val="Odstavec"/>
      </w:pPr>
      <w:r w:rsidRPr="00050430">
        <w:t>Poskytovatel odpovídá za řádné a přesné provedení objednaných služeb, které jsou předmětem této Smlouvy, s tím, že služby a jejich výsledky musí odpovídat požadavkům sjednaným v této Smlouvě, právním normám a obvyklým požadavkům na poskytovaný druh služeb.</w:t>
      </w:r>
    </w:p>
    <w:p w14:paraId="4A1C2042" w14:textId="77777777" w:rsidR="00050430" w:rsidRPr="00050430" w:rsidRDefault="00050430" w:rsidP="00050430">
      <w:pPr>
        <w:pStyle w:val="Odstavec"/>
      </w:pPr>
      <w:r w:rsidRPr="00050430">
        <w:t>Smluvní strany se dohodly, že v případě vady, tj. zajištění předmětu Smlouvy Poskytovatelem v kvalitě, která neodpovídá předmětu Smlouvy, je Objednatel oprávněn požadovat po Poskytovateli její bezodkladnou nápravu tak, aby byl dodržen předmět a účel Smlouvy.</w:t>
      </w:r>
    </w:p>
    <w:p w14:paraId="340E5D38" w14:textId="77777777" w:rsidR="00050430" w:rsidRPr="00050430" w:rsidRDefault="00050430" w:rsidP="00050430">
      <w:pPr>
        <w:pStyle w:val="Odstavec"/>
      </w:pPr>
      <w:r w:rsidRPr="00050430">
        <w:t xml:space="preserve">Reklamace nedostatků musí být Poskytovateli sdělena bez zbytečného odkladu po jejich zjištění, a to písemně. Poskytovatel se zavazuje napravit případné vady bez zbytečného odkladu po jejich uplatnění Objednatelem. O nápravě vady dle tohoto ustanovení sepíše Objednatel písemný zápis. </w:t>
      </w:r>
    </w:p>
    <w:p w14:paraId="261AEDA2" w14:textId="77777777" w:rsidR="00050430" w:rsidRPr="00050430" w:rsidRDefault="00050430" w:rsidP="00050430">
      <w:pPr>
        <w:pStyle w:val="Odstavec"/>
      </w:pPr>
      <w:r w:rsidRPr="00050430">
        <w:t>Objednatel má vůči Poskytovateli dále právo z odpovědnosti za vady, a to právo na odstoupení od Smlouvy v případě, kdy vady v poskytovaném plnění jsou takového charakteru, že ztěžují, či dokonce brání naplnění předmětu a účelu Smlouvy.</w:t>
      </w:r>
    </w:p>
    <w:p w14:paraId="73A2D15D" w14:textId="68D5DFD5" w:rsidR="00E4581C" w:rsidRDefault="00E4581C" w:rsidP="0020522E">
      <w:pPr>
        <w:pStyle w:val="Nadpis1"/>
        <w:ind w:left="426" w:hanging="426"/>
      </w:pPr>
      <w:r>
        <w:t>Odpovědnost za škodu</w:t>
      </w:r>
    </w:p>
    <w:p w14:paraId="5BC725ED" w14:textId="77777777" w:rsidR="00050430" w:rsidRPr="00050430" w:rsidRDefault="00050430" w:rsidP="00050430">
      <w:pPr>
        <w:pStyle w:val="Odstavec"/>
      </w:pPr>
      <w:r w:rsidRPr="00050430">
        <w:t>Objednatel je oprávněn požadovat po Poskytovateli a Poskytovatel je povinen poskytnout Objednateli náhradu újmy, kterou Poskytovatel nebo jím pověřené osoby způsobili Objednateli porušením povinností daných touto Smlouvou nebo v souvislosti s prováděním plnění dle této Smlouvy nebo porušením povinností dle příslušných právních předpisů. Pro náhradu újmy/škody platí ustanoveni § 2894 a násl. Občanského zákoníku. Náhrada škody zahrnuje skutečnou škodu. Úhrada újmy nevylučuje uplatnění smluvní pokuty Objednatelem.</w:t>
      </w:r>
    </w:p>
    <w:p w14:paraId="0206D11D" w14:textId="77777777" w:rsidR="00050430" w:rsidRPr="00050430" w:rsidRDefault="00050430" w:rsidP="00050430">
      <w:pPr>
        <w:pStyle w:val="Odstavec"/>
      </w:pPr>
      <w:r w:rsidRPr="00050430">
        <w:t>Poskytovatel je povinen nahradit Objednateli újmu, pokud mu vznikla v přímé souvislosti s poskytováním služeb dle této Smlouvy a pokud byla způsobena porušením povinností Poskytovatele, resp. osob ve smluvním vztahu s Poskytovatelem, prostřednictvím kterých Poskytovatel dohodnuté služby poskytuje.</w:t>
      </w:r>
    </w:p>
    <w:p w14:paraId="5A90FB1C" w14:textId="77777777" w:rsidR="00050430" w:rsidRPr="00050430" w:rsidRDefault="00050430" w:rsidP="00050430">
      <w:pPr>
        <w:pStyle w:val="Odstavec"/>
      </w:pPr>
      <w:r w:rsidRPr="00050430">
        <w:t xml:space="preserve">Poskytovatel nebude odpovědný za škodu vzniklou v souvislosti s poskytnutými službami v té míře, v jaké bylo poskytnutí služeb ovlivněno faktory nebo jevy, které nemohly být při uplatnění odborné péče při poskytování služeb Poskytovatelem zohledněny nebo pokud budou poskytnuté služby ovlivněny nepřesnými, neúplnými nebo nesprávnými informacemi či podklady dodanými Objednatelem či třetí stranou </w:t>
      </w:r>
      <w:r w:rsidRPr="00050430">
        <w:lastRenderedPageBreak/>
        <w:t>určenou Objednatelem, za předpokladu, že Poskytovatel nemohl tyto skutečnosti při vynaložení řádné a odborné péče odhalit.</w:t>
      </w:r>
    </w:p>
    <w:p w14:paraId="4846C0BD" w14:textId="6FF8DFBC" w:rsidR="00E4581C" w:rsidRDefault="00E4581C" w:rsidP="0020522E">
      <w:pPr>
        <w:pStyle w:val="Nadpis1"/>
        <w:ind w:left="426" w:hanging="426"/>
      </w:pPr>
      <w:r>
        <w:t>Smluvní pokuty</w:t>
      </w:r>
    </w:p>
    <w:p w14:paraId="03C37AF1" w14:textId="7763A69F" w:rsidR="00771BFF" w:rsidRDefault="005569E9" w:rsidP="00771BFF">
      <w:pPr>
        <w:pStyle w:val="Odstavec"/>
      </w:pPr>
      <w:r>
        <w:t>Objednatel je po Poskytovateli oprávněn požadovat</w:t>
      </w:r>
      <w:r w:rsidR="00050430" w:rsidRPr="00050430">
        <w:t xml:space="preserve"> smluvní pokutu v případě následujících porušení Smlouvy:</w:t>
      </w:r>
    </w:p>
    <w:p w14:paraId="0E96CC73" w14:textId="17F7AF2C" w:rsidR="00F23336" w:rsidRDefault="00F23336" w:rsidP="00DE6890">
      <w:pPr>
        <w:pStyle w:val="odstavec2"/>
        <w:ind w:left="1560" w:hanging="840"/>
      </w:pPr>
      <w:r>
        <w:t xml:space="preserve">v případě prodlení s nástupem k opravě poruchy dle </w:t>
      </w:r>
      <w:r w:rsidR="00C67501">
        <w:t xml:space="preserve">čl. 3. </w:t>
      </w:r>
      <w:r w:rsidR="0034610B" w:rsidRPr="008D39A0">
        <w:t>odst. 3.5</w:t>
      </w:r>
      <w:r w:rsidR="00C67501">
        <w:rPr>
          <w:rStyle w:val="Hypertextovodkaz"/>
        </w:rPr>
        <w:t>. Smlouvy</w:t>
      </w:r>
      <w:r>
        <w:t xml:space="preserve"> ve výši 500,- Kč za každou, i započatou, hodinu prodlení;</w:t>
      </w:r>
    </w:p>
    <w:p w14:paraId="4A2E1059" w14:textId="77777777" w:rsidR="00F23336" w:rsidRDefault="00F23336" w:rsidP="00DE6890">
      <w:pPr>
        <w:pStyle w:val="odstavec2"/>
        <w:ind w:left="1560" w:hanging="840"/>
      </w:pPr>
      <w:r>
        <w:t>v případě prodlení s termínem dokončení výsledku činností dle objednávky ve výši 0,5 % z celkové ceny uvedené v Protokolu, nejméně však 500,- Kč za každý, i započatý, den prodlení;</w:t>
      </w:r>
    </w:p>
    <w:p w14:paraId="6436057D" w14:textId="1407EA14" w:rsidR="00F23336" w:rsidRDefault="00F23336" w:rsidP="00DE6890">
      <w:pPr>
        <w:pStyle w:val="odstavec2"/>
        <w:ind w:left="1560" w:hanging="840"/>
      </w:pPr>
      <w:r>
        <w:t>za neodstranění reklamovaných vad zjištěných při předání prací v dohodnutém termínu ve výši 0,5 % z celkové ceny uvedené v Protokolu, nejméně však 500,- Kč za každý, i započatý, den prodlení a</w:t>
      </w:r>
    </w:p>
    <w:p w14:paraId="077D807A" w14:textId="77777777" w:rsidR="00F23336" w:rsidRDefault="00F23336" w:rsidP="00DE6890">
      <w:pPr>
        <w:pStyle w:val="odstavec2"/>
        <w:ind w:left="1560" w:hanging="840"/>
      </w:pPr>
      <w:r>
        <w:t>za porušení povinnosti mlčenlivosti specifikované v této Smlouvě ve výši 100 000,- Kč, a to za každý jednotlivý případ porušení této povinnosti a</w:t>
      </w:r>
    </w:p>
    <w:p w14:paraId="74B689A8" w14:textId="77777777" w:rsidR="00F23336" w:rsidRDefault="00F23336" w:rsidP="00F13FE9">
      <w:pPr>
        <w:pStyle w:val="odstavec2"/>
        <w:ind w:left="1560" w:hanging="840"/>
      </w:pPr>
      <w:r>
        <w:t>za porušení povinností plynoucích z nařízení GDPR ve výši 100 000,- Kč, a to za každý jednotlivý případ porušení této povinnosti.</w:t>
      </w:r>
    </w:p>
    <w:p w14:paraId="1D588460" w14:textId="77777777" w:rsidR="00F23336" w:rsidRPr="00F23336" w:rsidRDefault="00F23336" w:rsidP="00F23336">
      <w:pPr>
        <w:pStyle w:val="Odstavec"/>
      </w:pPr>
      <w:r w:rsidRPr="00F23336">
        <w:t>Smluvní pokuty lze uložit i opakovaně za každý jednotlivý případ.</w:t>
      </w:r>
    </w:p>
    <w:p w14:paraId="67DB0D32" w14:textId="77777777" w:rsidR="00F23336" w:rsidRPr="00F23336" w:rsidRDefault="00F23336" w:rsidP="00F23336">
      <w:pPr>
        <w:pStyle w:val="Odstavec"/>
      </w:pPr>
      <w:r w:rsidRPr="00F23336">
        <w:t>V případě prodlení Objednatele s úhradou faktury je Poskytovatel oprávněn požadovat zaplacení zákonného úroku z prodlení. Jiné sankce vůči Objednateli jsou nepřípustné.</w:t>
      </w:r>
    </w:p>
    <w:p w14:paraId="59962B74" w14:textId="77777777" w:rsidR="00F23336" w:rsidRPr="00F23336" w:rsidRDefault="00F23336" w:rsidP="00F23336">
      <w:pPr>
        <w:pStyle w:val="Odstavec"/>
      </w:pPr>
      <w:r w:rsidRPr="00F23336">
        <w:t xml:space="preserve">Smluvní pokuty i náhradu škody je Objednatel oprávněn započíst proti pohledávce Poskytovatele. </w:t>
      </w:r>
    </w:p>
    <w:p w14:paraId="710DD761" w14:textId="77777777" w:rsidR="00F23336" w:rsidRPr="00F23336" w:rsidRDefault="00F23336" w:rsidP="00F23336">
      <w:pPr>
        <w:pStyle w:val="Odstavec"/>
      </w:pPr>
      <w:r w:rsidRPr="00F23336">
        <w:t>Smluvní pokuty jsou splatné do 14 kalendářních dnů po obdržení písemné výzvy oprávněné Smluvní strany k jejímu zaplacení na adresu povinné Smluvní strany. Zaplacením smluvní pokuty není dotčeno právo na náhradu případně vzniklé škody, a to v plné výši.</w:t>
      </w:r>
    </w:p>
    <w:p w14:paraId="3B0CA710" w14:textId="77777777" w:rsidR="00F23336" w:rsidRPr="00F23336" w:rsidRDefault="00F23336" w:rsidP="00F23336">
      <w:pPr>
        <w:pStyle w:val="Odstavec"/>
      </w:pPr>
      <w:r w:rsidRPr="00F23336">
        <w:t>V případě, že bude Objednateli udělena pokuta nebo jiná sankce v souvislosti s porušením povinnosti Poskytovatele ze strany orgánu státní správy nebo jiných ke kontrole oprávněných orgánů nebo organizací, je Objednatel oprávněn vymáhat tyto sankce na Poskytovateli. Objednatel v takovém případě započte výši finanční sankce proti pohledávce Poskytovatele.</w:t>
      </w:r>
    </w:p>
    <w:p w14:paraId="5D5CF87C" w14:textId="39AC1965" w:rsidR="00E4581C" w:rsidRDefault="00E4581C" w:rsidP="0020522E">
      <w:pPr>
        <w:pStyle w:val="Nadpis1"/>
        <w:ind w:left="426" w:hanging="426"/>
      </w:pPr>
      <w:r>
        <w:t>Odstoupení od Smlouvy a výpověď</w:t>
      </w:r>
    </w:p>
    <w:p w14:paraId="7DE055B9" w14:textId="77777777" w:rsidR="00F23336" w:rsidRPr="00F23336" w:rsidRDefault="00F23336" w:rsidP="00F23336">
      <w:pPr>
        <w:pStyle w:val="Odstavec"/>
      </w:pPr>
      <w:r w:rsidRPr="00F23336">
        <w:t>Tato Smlouva může zaniknout písemnou dohodou Smluvních stran.</w:t>
      </w:r>
    </w:p>
    <w:p w14:paraId="2245A62D" w14:textId="77777777" w:rsidR="00F23336" w:rsidRPr="00F23336" w:rsidRDefault="00F23336" w:rsidP="00F23336">
      <w:pPr>
        <w:pStyle w:val="Odstavec"/>
      </w:pPr>
      <w:r w:rsidRPr="00F23336">
        <w:t xml:space="preserve">Objednatel může od Smlouvy odstoupit v případě závažného nebo opakovaného porušení smluvní nebo zákonné povinnosti ze strany Poskytovatele, přičemž závažným porušením povinností se rozumí překročení kterékoliv lhůty s poskytnutím služby delší než 14 kalendářních dnů z důvodů spočívajících výlučně na straně Poskytovatele. Opakovaným porušením smluvní nebo zákonné povinnosti Poskytovatelem se rozumí porušení téže povinnosti dvakrát v době trvání Smlouvy. Ostatní porušení smluvních povinností jsou považována za méně závažná. </w:t>
      </w:r>
    </w:p>
    <w:p w14:paraId="6504CB83" w14:textId="77777777" w:rsidR="00F23336" w:rsidRPr="00F23336" w:rsidRDefault="00F23336" w:rsidP="00F23336">
      <w:pPr>
        <w:pStyle w:val="Odstavec"/>
      </w:pPr>
      <w:r w:rsidRPr="00F23336">
        <w:t xml:space="preserve">Objednatel je dále oprávněn odstoupit od této Smlouvy v případě, že vůči majetku Poskytovatele probíhá insolvenční řízení, v němž bylo vydáno rozhodnutí o úpadku anebo i v případě, že insolvenční návrh byl zamítnut proto, že majetek nepostačuje k </w:t>
      </w:r>
      <w:r w:rsidRPr="00F23336">
        <w:lastRenderedPageBreak/>
        <w:t>úhradě nákladů insolvenčního řízení. Rovněž pak v případě, kdy Poskytovatel vstoupí do likvidace.</w:t>
      </w:r>
    </w:p>
    <w:p w14:paraId="04003F27" w14:textId="77777777" w:rsidR="00F23336" w:rsidRPr="00F23336" w:rsidRDefault="00F23336" w:rsidP="00F23336">
      <w:pPr>
        <w:pStyle w:val="Odstavec"/>
      </w:pPr>
      <w:r w:rsidRPr="00F23336">
        <w:t>Poskytovatel je oprávněn odstoupit od Smlouvy v případě, že Objednatel bude v prodlení s úhradou svých peněžitých závazků vyplývajících z této Smlouvy po dobu delší než 60 kalendářních dní.</w:t>
      </w:r>
    </w:p>
    <w:p w14:paraId="1883777D" w14:textId="38710A57" w:rsidR="00F23336" w:rsidRPr="00F23336" w:rsidRDefault="00F23336" w:rsidP="00F23336">
      <w:pPr>
        <w:pStyle w:val="Odstavec"/>
      </w:pPr>
      <w:r w:rsidRPr="00F23336">
        <w:t xml:space="preserve">Objednatel je oprávněn odstoupit od Smlouvy v případě zrušení </w:t>
      </w:r>
      <w:r w:rsidR="00840FD7">
        <w:t xml:space="preserve">operačního </w:t>
      </w:r>
      <w:r w:rsidRPr="00F23336">
        <w:t>programu, ze kterého je zakázka hrazena.</w:t>
      </w:r>
    </w:p>
    <w:p w14:paraId="38460C86" w14:textId="6BEB7293" w:rsidR="00F23336" w:rsidRPr="00F23336" w:rsidRDefault="00F23336" w:rsidP="00F23336">
      <w:pPr>
        <w:pStyle w:val="Odstavec"/>
      </w:pPr>
      <w:r w:rsidRPr="00F23336">
        <w:t xml:space="preserve">Objednatel je oprávněn od Smlouvy odstoupit, pokud se Poskytovatel v zadávacím řízení nebo v souvislosti s ním dopustí jednání, které svým obsahem nebo účelem odporuje </w:t>
      </w:r>
      <w:r w:rsidR="00F13FE9" w:rsidRPr="00F13FE9">
        <w:t>zákon</w:t>
      </w:r>
      <w:r w:rsidR="00F13FE9">
        <w:t>u</w:t>
      </w:r>
      <w:r w:rsidR="00F13FE9" w:rsidRPr="00F13FE9">
        <w:t xml:space="preserve"> č. 134/2016 Sb., o zadávání veřejných zakázkách, ve znění pozdějších předpisů</w:t>
      </w:r>
      <w:r w:rsidR="005569E9">
        <w:t>,</w:t>
      </w:r>
      <w:r w:rsidRPr="00F23336">
        <w:t xml:space="preserve"> nebo jej obchází anebo se příčí dobrým mravům, zejména má-li za cíl nepřípustné omezení soutěže (např. protiprávní dohoda o společném postupu s jinými dodavateli) nebo získání neoprávněné výhody anebo uvedl nepravdivé informace</w:t>
      </w:r>
      <w:r>
        <w:t xml:space="preserve"> </w:t>
      </w:r>
      <w:r w:rsidRPr="00F23336">
        <w:t>k prokázání svých kvalifikačních předpokladů.</w:t>
      </w:r>
    </w:p>
    <w:p w14:paraId="32694BF3" w14:textId="73032E4B" w:rsidR="00F23336" w:rsidRPr="00F23336" w:rsidRDefault="00F23336" w:rsidP="00F23336">
      <w:pPr>
        <w:pStyle w:val="Odstavec"/>
      </w:pPr>
      <w:r w:rsidRPr="00F23336">
        <w:t>Objednatel je oprávněn od Smlouvy odstoupit či omezit rozsah plnění v případě,</w:t>
      </w:r>
      <w:r>
        <w:t xml:space="preserve"> </w:t>
      </w:r>
      <w:r w:rsidRPr="00F23336">
        <w:t>že nebudou schváleny prostředky ze státního rozpočtu nebo příslušného operačního programu k financování předmětu Smlouvy.</w:t>
      </w:r>
    </w:p>
    <w:p w14:paraId="0C9366CC" w14:textId="77777777" w:rsidR="00F23336" w:rsidRPr="00F23336" w:rsidRDefault="00F23336" w:rsidP="00F23336">
      <w:pPr>
        <w:pStyle w:val="Odstavec"/>
      </w:pPr>
      <w:r w:rsidRPr="00F23336">
        <w:t>Účinky každého odstoupení od Smlouvy nastávají okamžikem doručení písemného projevu vůle odstoupit od této Smlouvy druhé Smluvní straně.</w:t>
      </w:r>
    </w:p>
    <w:p w14:paraId="0DDB5875" w14:textId="77777777" w:rsidR="00F23336" w:rsidRPr="00F23336" w:rsidRDefault="00F23336" w:rsidP="00F23336">
      <w:pPr>
        <w:pStyle w:val="Odstavec"/>
      </w:pPr>
      <w:r w:rsidRPr="00F23336">
        <w:t>Odstoupením od Smlouvy nejsou dotčena práva Smluvních stran na úhradu splatné smluvní sankce, úroků z prodlení a náhradu škody.</w:t>
      </w:r>
    </w:p>
    <w:p w14:paraId="32DD4AC2" w14:textId="77777777" w:rsidR="00F23336" w:rsidRPr="00F23336" w:rsidRDefault="00F23336" w:rsidP="00F23336">
      <w:pPr>
        <w:pStyle w:val="Odstavec"/>
      </w:pPr>
      <w:r w:rsidRPr="00F23336">
        <w:t>Objednatel si vyhrazuje právo vypovědět Smlouvu i před uplynutím sjednané doby bez uvedení důvodu.</w:t>
      </w:r>
    </w:p>
    <w:p w14:paraId="6E89CE8A" w14:textId="2F9FE0F2" w:rsidR="00F23336" w:rsidRPr="00F23336" w:rsidRDefault="00F23336" w:rsidP="00F23336">
      <w:pPr>
        <w:pStyle w:val="Odstavec"/>
      </w:pPr>
      <w:r w:rsidRPr="00F23336">
        <w:t xml:space="preserve">Účinky výpovědi nastávají k poslednímu dni </w:t>
      </w:r>
      <w:r w:rsidR="00F13FE9">
        <w:t>3. měsíce</w:t>
      </w:r>
      <w:r w:rsidRPr="00F23336">
        <w:t>, následující</w:t>
      </w:r>
      <w:r w:rsidR="00F13FE9">
        <w:t>ho</w:t>
      </w:r>
      <w:r w:rsidRPr="00F23336">
        <w:t xml:space="preserve"> po měsíci, ve kterém byla výpověď doručena druhé Smluvní straně.</w:t>
      </w:r>
    </w:p>
    <w:p w14:paraId="52B5A77B" w14:textId="337D0C60" w:rsidR="00E4581C" w:rsidRDefault="0020522E" w:rsidP="0020522E">
      <w:pPr>
        <w:pStyle w:val="Nadpis1"/>
        <w:ind w:left="426" w:hanging="426"/>
      </w:pPr>
      <w:r>
        <w:t>Kontaktní osoby</w:t>
      </w:r>
    </w:p>
    <w:p w14:paraId="69A92446" w14:textId="035B60F2" w:rsidR="00F94A04" w:rsidRDefault="0020522E" w:rsidP="00F94A04">
      <w:pPr>
        <w:pStyle w:val="Odstavec"/>
      </w:pPr>
      <w:r>
        <w:t>Kontaktní osoby Objednatele</w:t>
      </w:r>
      <w:r w:rsidR="00F23336">
        <w:rPr>
          <w:rStyle w:val="Znakapoznpodarou"/>
        </w:rPr>
        <w:footnoteReference w:id="1"/>
      </w:r>
      <w:r>
        <w:t>:</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842"/>
        <w:gridCol w:w="1276"/>
        <w:gridCol w:w="1418"/>
        <w:gridCol w:w="2268"/>
      </w:tblGrid>
      <w:tr w:rsidR="000E1804" w:rsidRPr="00BA7C34" w14:paraId="2D01ABDB" w14:textId="77777777" w:rsidTr="00756AD3">
        <w:tc>
          <w:tcPr>
            <w:tcW w:w="2410" w:type="dxa"/>
            <w:shd w:val="clear" w:color="auto" w:fill="BFBFBF"/>
          </w:tcPr>
          <w:p w14:paraId="7FD835E0" w14:textId="77777777" w:rsidR="000E1804" w:rsidRPr="00BA7C34" w:rsidRDefault="000E1804" w:rsidP="00972326">
            <w:pPr>
              <w:jc w:val="center"/>
              <w:rPr>
                <w:b/>
              </w:rPr>
            </w:pPr>
          </w:p>
        </w:tc>
        <w:tc>
          <w:tcPr>
            <w:tcW w:w="1842" w:type="dxa"/>
            <w:shd w:val="clear" w:color="auto" w:fill="BFBFBF"/>
          </w:tcPr>
          <w:p w14:paraId="2497D2CE" w14:textId="77777777" w:rsidR="000E1804" w:rsidRPr="00BA7C34" w:rsidRDefault="000E1804" w:rsidP="00972326">
            <w:pPr>
              <w:jc w:val="center"/>
              <w:rPr>
                <w:b/>
              </w:rPr>
            </w:pPr>
            <w:r w:rsidRPr="00BA7C34">
              <w:rPr>
                <w:b/>
              </w:rPr>
              <w:t>Příjmení jméno, titul</w:t>
            </w:r>
          </w:p>
        </w:tc>
        <w:tc>
          <w:tcPr>
            <w:tcW w:w="1276" w:type="dxa"/>
            <w:shd w:val="clear" w:color="auto" w:fill="BFBFBF"/>
          </w:tcPr>
          <w:p w14:paraId="6F7EE932" w14:textId="77777777" w:rsidR="000E1804" w:rsidRPr="00BA7C34" w:rsidRDefault="000E1804" w:rsidP="00972326">
            <w:pPr>
              <w:jc w:val="center"/>
              <w:rPr>
                <w:b/>
              </w:rPr>
            </w:pPr>
            <w:r w:rsidRPr="00BA7C34">
              <w:rPr>
                <w:b/>
              </w:rPr>
              <w:t>Telefon</w:t>
            </w:r>
          </w:p>
        </w:tc>
        <w:tc>
          <w:tcPr>
            <w:tcW w:w="1418" w:type="dxa"/>
            <w:shd w:val="clear" w:color="auto" w:fill="BFBFBF"/>
          </w:tcPr>
          <w:p w14:paraId="72C5247D" w14:textId="77777777" w:rsidR="000E1804" w:rsidRPr="00BA7C34" w:rsidRDefault="000E1804" w:rsidP="00972326">
            <w:pPr>
              <w:jc w:val="center"/>
              <w:rPr>
                <w:b/>
              </w:rPr>
            </w:pPr>
            <w:r w:rsidRPr="00BA7C34">
              <w:rPr>
                <w:b/>
              </w:rPr>
              <w:t>GSM</w:t>
            </w:r>
          </w:p>
        </w:tc>
        <w:tc>
          <w:tcPr>
            <w:tcW w:w="2268" w:type="dxa"/>
            <w:shd w:val="clear" w:color="auto" w:fill="BFBFBF"/>
          </w:tcPr>
          <w:p w14:paraId="1015BD09" w14:textId="77777777" w:rsidR="000E1804" w:rsidRPr="00BA7C34" w:rsidRDefault="000E1804" w:rsidP="00972326">
            <w:pPr>
              <w:jc w:val="center"/>
              <w:rPr>
                <w:b/>
              </w:rPr>
            </w:pPr>
            <w:r w:rsidRPr="00BA7C34">
              <w:rPr>
                <w:b/>
              </w:rPr>
              <w:t>e-mail</w:t>
            </w:r>
          </w:p>
        </w:tc>
      </w:tr>
      <w:tr w:rsidR="000E1804" w:rsidRPr="00BA7C34" w14:paraId="1E30E383" w14:textId="77777777" w:rsidTr="00756AD3">
        <w:tc>
          <w:tcPr>
            <w:tcW w:w="2410" w:type="dxa"/>
            <w:shd w:val="clear" w:color="auto" w:fill="auto"/>
          </w:tcPr>
          <w:p w14:paraId="342AC321" w14:textId="77777777" w:rsidR="000E1804" w:rsidRPr="00BA7C34" w:rsidRDefault="000E1804" w:rsidP="00972326">
            <w:pPr>
              <w:pStyle w:val="Zkladntext"/>
              <w:ind w:right="-198"/>
              <w:rPr>
                <w:sz w:val="18"/>
                <w:szCs w:val="18"/>
              </w:rPr>
            </w:pPr>
            <w:r w:rsidRPr="00BA7C34">
              <w:rPr>
                <w:sz w:val="18"/>
                <w:szCs w:val="18"/>
              </w:rPr>
              <w:t>ve věcech technických (O 51)</w:t>
            </w:r>
          </w:p>
        </w:tc>
        <w:tc>
          <w:tcPr>
            <w:tcW w:w="1842" w:type="dxa"/>
            <w:shd w:val="clear" w:color="auto" w:fill="auto"/>
          </w:tcPr>
          <w:p w14:paraId="678CA945" w14:textId="3629B1F4" w:rsidR="000E1804" w:rsidRPr="00BA7C34" w:rsidRDefault="00D50D16" w:rsidP="00972326">
            <w:pPr>
              <w:pStyle w:val="Zkladntext"/>
              <w:ind w:right="-198"/>
              <w:rPr>
                <w:sz w:val="18"/>
                <w:szCs w:val="18"/>
              </w:rPr>
            </w:pPr>
            <w:r>
              <w:rPr>
                <w:sz w:val="18"/>
                <w:szCs w:val="18"/>
              </w:rPr>
              <w:t>Kryštof Kowalski</w:t>
            </w:r>
          </w:p>
        </w:tc>
        <w:tc>
          <w:tcPr>
            <w:tcW w:w="1276" w:type="dxa"/>
            <w:shd w:val="clear" w:color="auto" w:fill="auto"/>
          </w:tcPr>
          <w:p w14:paraId="1A46A591" w14:textId="0EDB9394" w:rsidR="000E1804" w:rsidRPr="00BA7C34" w:rsidRDefault="00D50D16" w:rsidP="00972326">
            <w:pPr>
              <w:pStyle w:val="Zkladntext"/>
              <w:ind w:right="-198"/>
              <w:rPr>
                <w:sz w:val="18"/>
                <w:szCs w:val="18"/>
              </w:rPr>
            </w:pPr>
            <w:r>
              <w:rPr>
                <w:sz w:val="18"/>
                <w:szCs w:val="18"/>
              </w:rPr>
              <w:t>234 811 299</w:t>
            </w:r>
          </w:p>
        </w:tc>
        <w:tc>
          <w:tcPr>
            <w:tcW w:w="1418" w:type="dxa"/>
            <w:shd w:val="clear" w:color="auto" w:fill="auto"/>
          </w:tcPr>
          <w:p w14:paraId="234A7BED" w14:textId="2CB74DD6" w:rsidR="000E1804" w:rsidRPr="00BA7C34" w:rsidRDefault="00D50D16" w:rsidP="00972326">
            <w:pPr>
              <w:pStyle w:val="Zkladntext"/>
              <w:ind w:right="-198"/>
              <w:rPr>
                <w:sz w:val="18"/>
                <w:szCs w:val="18"/>
              </w:rPr>
            </w:pPr>
            <w:r>
              <w:rPr>
                <w:sz w:val="18"/>
                <w:szCs w:val="18"/>
              </w:rPr>
              <w:t>724 805 964</w:t>
            </w:r>
          </w:p>
        </w:tc>
        <w:tc>
          <w:tcPr>
            <w:tcW w:w="2268" w:type="dxa"/>
            <w:shd w:val="clear" w:color="auto" w:fill="auto"/>
          </w:tcPr>
          <w:p w14:paraId="7B80FB2D" w14:textId="2A877E65" w:rsidR="000E1804" w:rsidRPr="00BA7C34" w:rsidRDefault="00D50D16" w:rsidP="00972326">
            <w:pPr>
              <w:pStyle w:val="Zkladntext"/>
              <w:ind w:right="-198"/>
              <w:rPr>
                <w:sz w:val="18"/>
                <w:szCs w:val="18"/>
              </w:rPr>
            </w:pPr>
            <w:r>
              <w:rPr>
                <w:sz w:val="18"/>
                <w:szCs w:val="18"/>
              </w:rPr>
              <w:t>krystof.kowalski@msmt.cz</w:t>
            </w:r>
          </w:p>
        </w:tc>
      </w:tr>
      <w:tr w:rsidR="000E1804" w:rsidRPr="00BA7C34" w14:paraId="6FADE31D" w14:textId="77777777" w:rsidTr="00756AD3">
        <w:tc>
          <w:tcPr>
            <w:tcW w:w="2410" w:type="dxa"/>
            <w:shd w:val="clear" w:color="auto" w:fill="auto"/>
          </w:tcPr>
          <w:p w14:paraId="5494DD4C" w14:textId="77777777" w:rsidR="000E1804" w:rsidRPr="00BA7C34" w:rsidRDefault="000E1804" w:rsidP="00972326">
            <w:pPr>
              <w:pStyle w:val="Zkladntext"/>
              <w:ind w:right="-198"/>
              <w:rPr>
                <w:sz w:val="18"/>
                <w:szCs w:val="18"/>
              </w:rPr>
            </w:pPr>
            <w:r w:rsidRPr="00BA7C34">
              <w:rPr>
                <w:sz w:val="18"/>
                <w:szCs w:val="18"/>
              </w:rPr>
              <w:t>ve věcech technických (O 42)</w:t>
            </w:r>
          </w:p>
        </w:tc>
        <w:tc>
          <w:tcPr>
            <w:tcW w:w="1842" w:type="dxa"/>
            <w:shd w:val="clear" w:color="auto" w:fill="auto"/>
          </w:tcPr>
          <w:p w14:paraId="6DFA9C1A" w14:textId="77777777" w:rsidR="000E1804" w:rsidRPr="00BA7C34" w:rsidRDefault="000E1804" w:rsidP="00972326">
            <w:pPr>
              <w:pStyle w:val="Zkladntext"/>
              <w:ind w:right="-198"/>
              <w:rPr>
                <w:sz w:val="18"/>
                <w:szCs w:val="18"/>
              </w:rPr>
            </w:pPr>
            <w:r w:rsidRPr="00BA7C34">
              <w:rPr>
                <w:sz w:val="18"/>
                <w:szCs w:val="18"/>
              </w:rPr>
              <w:t>Mgr. Petr Sedláček</w:t>
            </w:r>
          </w:p>
        </w:tc>
        <w:tc>
          <w:tcPr>
            <w:tcW w:w="1276" w:type="dxa"/>
            <w:shd w:val="clear" w:color="auto" w:fill="auto"/>
          </w:tcPr>
          <w:p w14:paraId="42437613" w14:textId="77777777" w:rsidR="000E1804" w:rsidRPr="00BA7C34" w:rsidRDefault="000E1804" w:rsidP="00972326">
            <w:pPr>
              <w:pStyle w:val="Zkladntext"/>
              <w:ind w:right="-198"/>
              <w:rPr>
                <w:sz w:val="18"/>
                <w:szCs w:val="18"/>
              </w:rPr>
            </w:pPr>
          </w:p>
        </w:tc>
        <w:tc>
          <w:tcPr>
            <w:tcW w:w="1418" w:type="dxa"/>
            <w:shd w:val="clear" w:color="auto" w:fill="auto"/>
          </w:tcPr>
          <w:p w14:paraId="31158EA5" w14:textId="77777777" w:rsidR="000E1804" w:rsidRPr="00BA7C34" w:rsidRDefault="000E1804" w:rsidP="00972326">
            <w:pPr>
              <w:pStyle w:val="Zkladntext"/>
              <w:ind w:right="-198"/>
              <w:rPr>
                <w:sz w:val="18"/>
                <w:szCs w:val="18"/>
              </w:rPr>
            </w:pPr>
            <w:r w:rsidRPr="00BA7C34">
              <w:rPr>
                <w:sz w:val="18"/>
                <w:szCs w:val="18"/>
              </w:rPr>
              <w:t>778 424 780</w:t>
            </w:r>
          </w:p>
        </w:tc>
        <w:tc>
          <w:tcPr>
            <w:tcW w:w="2268" w:type="dxa"/>
            <w:shd w:val="clear" w:color="auto" w:fill="auto"/>
          </w:tcPr>
          <w:p w14:paraId="230E1E52" w14:textId="77777777" w:rsidR="000E1804" w:rsidRPr="00BA7C34" w:rsidRDefault="000E1804" w:rsidP="00972326">
            <w:pPr>
              <w:pStyle w:val="Zkladntext"/>
              <w:ind w:right="-198"/>
              <w:rPr>
                <w:sz w:val="18"/>
                <w:szCs w:val="18"/>
              </w:rPr>
            </w:pPr>
            <w:r w:rsidRPr="00BA7C34">
              <w:rPr>
                <w:sz w:val="18"/>
                <w:szCs w:val="18"/>
              </w:rPr>
              <w:t>petr.sedlacek@msmt.cz</w:t>
            </w:r>
          </w:p>
        </w:tc>
      </w:tr>
      <w:tr w:rsidR="000E1804" w:rsidRPr="00BA7C34" w14:paraId="1A32B3AC" w14:textId="77777777" w:rsidTr="00756AD3">
        <w:tc>
          <w:tcPr>
            <w:tcW w:w="2410" w:type="dxa"/>
            <w:shd w:val="clear" w:color="auto" w:fill="auto"/>
          </w:tcPr>
          <w:p w14:paraId="7CEEB9A1" w14:textId="77777777" w:rsidR="000E1804" w:rsidRPr="00BA7C34" w:rsidRDefault="000E1804" w:rsidP="00972326">
            <w:pPr>
              <w:pStyle w:val="Zkladntext"/>
              <w:ind w:right="-198"/>
              <w:rPr>
                <w:sz w:val="18"/>
                <w:szCs w:val="18"/>
              </w:rPr>
            </w:pPr>
            <w:r w:rsidRPr="00BA7C34">
              <w:rPr>
                <w:sz w:val="18"/>
                <w:szCs w:val="18"/>
              </w:rPr>
              <w:t>ve věcech smluvních (O 51)</w:t>
            </w:r>
          </w:p>
        </w:tc>
        <w:tc>
          <w:tcPr>
            <w:tcW w:w="1842" w:type="dxa"/>
            <w:shd w:val="clear" w:color="auto" w:fill="auto"/>
          </w:tcPr>
          <w:p w14:paraId="6D545D7B" w14:textId="2EB95BAF" w:rsidR="000E1804" w:rsidRPr="00BA7C34" w:rsidRDefault="00D50D16" w:rsidP="00972326">
            <w:pPr>
              <w:pStyle w:val="Zkladntext"/>
              <w:ind w:right="-198"/>
              <w:rPr>
                <w:sz w:val="18"/>
                <w:szCs w:val="18"/>
              </w:rPr>
            </w:pPr>
            <w:r>
              <w:rPr>
                <w:sz w:val="18"/>
                <w:szCs w:val="18"/>
              </w:rPr>
              <w:t>Ing. Jan Bartoš, MBA</w:t>
            </w:r>
          </w:p>
        </w:tc>
        <w:tc>
          <w:tcPr>
            <w:tcW w:w="1276" w:type="dxa"/>
            <w:shd w:val="clear" w:color="auto" w:fill="auto"/>
          </w:tcPr>
          <w:p w14:paraId="58932B99" w14:textId="4875F0E6" w:rsidR="000E1804" w:rsidRPr="00BA7C34" w:rsidRDefault="00D50D16" w:rsidP="00972326">
            <w:pPr>
              <w:pStyle w:val="Zkladntext"/>
              <w:ind w:right="-198"/>
              <w:rPr>
                <w:sz w:val="18"/>
                <w:szCs w:val="18"/>
              </w:rPr>
            </w:pPr>
            <w:r>
              <w:rPr>
                <w:sz w:val="18"/>
                <w:szCs w:val="18"/>
              </w:rPr>
              <w:t>234 812 290</w:t>
            </w:r>
          </w:p>
        </w:tc>
        <w:tc>
          <w:tcPr>
            <w:tcW w:w="1418" w:type="dxa"/>
            <w:shd w:val="clear" w:color="auto" w:fill="auto"/>
          </w:tcPr>
          <w:p w14:paraId="20FC666C" w14:textId="55619060" w:rsidR="000E1804" w:rsidRPr="00BA7C34" w:rsidRDefault="00D50D16" w:rsidP="00972326">
            <w:pPr>
              <w:pStyle w:val="Zkladntext"/>
              <w:ind w:right="-198"/>
              <w:rPr>
                <w:sz w:val="18"/>
                <w:szCs w:val="18"/>
              </w:rPr>
            </w:pPr>
            <w:r>
              <w:rPr>
                <w:sz w:val="18"/>
                <w:szCs w:val="18"/>
              </w:rPr>
              <w:t>778 785 489</w:t>
            </w:r>
          </w:p>
        </w:tc>
        <w:tc>
          <w:tcPr>
            <w:tcW w:w="2268" w:type="dxa"/>
            <w:shd w:val="clear" w:color="auto" w:fill="auto"/>
          </w:tcPr>
          <w:p w14:paraId="0DF20EE9" w14:textId="68FD5703" w:rsidR="000E1804" w:rsidRPr="00BA7C34" w:rsidRDefault="00D50D16" w:rsidP="00972326">
            <w:pPr>
              <w:pStyle w:val="Zkladntext"/>
              <w:ind w:right="-198"/>
              <w:rPr>
                <w:sz w:val="18"/>
                <w:szCs w:val="18"/>
              </w:rPr>
            </w:pPr>
            <w:r>
              <w:rPr>
                <w:sz w:val="18"/>
                <w:szCs w:val="18"/>
              </w:rPr>
              <w:t>jan.bartos@msmt.cz</w:t>
            </w:r>
          </w:p>
        </w:tc>
      </w:tr>
      <w:tr w:rsidR="000E1804" w:rsidRPr="00BA7C34" w14:paraId="52BE4E58" w14:textId="77777777" w:rsidTr="00756AD3">
        <w:tc>
          <w:tcPr>
            <w:tcW w:w="2410" w:type="dxa"/>
            <w:shd w:val="clear" w:color="auto" w:fill="auto"/>
          </w:tcPr>
          <w:p w14:paraId="26239BB6" w14:textId="77777777" w:rsidR="000E1804" w:rsidRPr="00BA7C34" w:rsidRDefault="000E1804" w:rsidP="00972326">
            <w:pPr>
              <w:pStyle w:val="Zkladntext"/>
              <w:ind w:right="-198"/>
              <w:rPr>
                <w:sz w:val="18"/>
                <w:szCs w:val="18"/>
              </w:rPr>
            </w:pPr>
            <w:r w:rsidRPr="00BA7C34">
              <w:rPr>
                <w:sz w:val="18"/>
                <w:szCs w:val="18"/>
              </w:rPr>
              <w:t>ve věcech smluvních (O 42)</w:t>
            </w:r>
          </w:p>
        </w:tc>
        <w:tc>
          <w:tcPr>
            <w:tcW w:w="1842" w:type="dxa"/>
            <w:shd w:val="clear" w:color="auto" w:fill="auto"/>
          </w:tcPr>
          <w:p w14:paraId="3F1960DF" w14:textId="77777777" w:rsidR="000E1804" w:rsidRPr="00BA7C34" w:rsidRDefault="000E1804" w:rsidP="00972326">
            <w:pPr>
              <w:pStyle w:val="Zkladntext"/>
              <w:ind w:right="-198"/>
              <w:rPr>
                <w:sz w:val="18"/>
                <w:szCs w:val="18"/>
              </w:rPr>
            </w:pPr>
            <w:r w:rsidRPr="00BA7C34">
              <w:rPr>
                <w:sz w:val="18"/>
                <w:szCs w:val="18"/>
              </w:rPr>
              <w:t>Ing. Zdeněk Pajer</w:t>
            </w:r>
          </w:p>
        </w:tc>
        <w:tc>
          <w:tcPr>
            <w:tcW w:w="1276" w:type="dxa"/>
            <w:shd w:val="clear" w:color="auto" w:fill="auto"/>
          </w:tcPr>
          <w:p w14:paraId="4BA616FD" w14:textId="0D4BABE6" w:rsidR="000E1804" w:rsidRPr="00BA7C34" w:rsidRDefault="000E1804" w:rsidP="00972326">
            <w:pPr>
              <w:pStyle w:val="Zkladntext"/>
              <w:ind w:right="-198"/>
              <w:rPr>
                <w:sz w:val="18"/>
                <w:szCs w:val="18"/>
              </w:rPr>
            </w:pPr>
          </w:p>
        </w:tc>
        <w:tc>
          <w:tcPr>
            <w:tcW w:w="1418" w:type="dxa"/>
            <w:shd w:val="clear" w:color="auto" w:fill="auto"/>
          </w:tcPr>
          <w:p w14:paraId="3DCCC8CB" w14:textId="77777777" w:rsidR="000E1804" w:rsidRPr="00BA7C34" w:rsidRDefault="000E1804" w:rsidP="00972326">
            <w:pPr>
              <w:pStyle w:val="Zkladntext"/>
              <w:ind w:right="-198"/>
              <w:rPr>
                <w:sz w:val="18"/>
                <w:szCs w:val="18"/>
              </w:rPr>
            </w:pPr>
            <w:r w:rsidRPr="00BA7C34">
              <w:rPr>
                <w:sz w:val="18"/>
                <w:szCs w:val="18"/>
              </w:rPr>
              <w:t>773 427 637</w:t>
            </w:r>
          </w:p>
        </w:tc>
        <w:tc>
          <w:tcPr>
            <w:tcW w:w="2268" w:type="dxa"/>
            <w:shd w:val="clear" w:color="auto" w:fill="auto"/>
          </w:tcPr>
          <w:p w14:paraId="743FE843" w14:textId="77777777" w:rsidR="000E1804" w:rsidRPr="00BA7C34" w:rsidRDefault="000E1804" w:rsidP="00972326">
            <w:pPr>
              <w:pStyle w:val="Zkladntext"/>
              <w:ind w:right="-198"/>
              <w:rPr>
                <w:sz w:val="18"/>
                <w:szCs w:val="18"/>
              </w:rPr>
            </w:pPr>
            <w:r w:rsidRPr="00BA7C34">
              <w:rPr>
                <w:sz w:val="18"/>
                <w:szCs w:val="18"/>
              </w:rPr>
              <w:t>zdenek.pajer@msmt.cz</w:t>
            </w:r>
          </w:p>
        </w:tc>
      </w:tr>
    </w:tbl>
    <w:p w14:paraId="0A372021" w14:textId="77777777" w:rsidR="000E1804" w:rsidRDefault="000E1804" w:rsidP="000E1804">
      <w:pPr>
        <w:pStyle w:val="Odstavec"/>
        <w:numPr>
          <w:ilvl w:val="0"/>
          <w:numId w:val="0"/>
        </w:numPr>
      </w:pPr>
    </w:p>
    <w:p w14:paraId="21C627D5" w14:textId="7C54AB67" w:rsidR="00F94A04" w:rsidRDefault="0020522E" w:rsidP="00F94A04">
      <w:pPr>
        <w:pStyle w:val="Odstavec"/>
      </w:pPr>
      <w:r>
        <w:t>Kontaktní osoby Poskytovatele:</w:t>
      </w:r>
      <w:r w:rsidR="000E1804">
        <w:t xml:space="preserve"> </w:t>
      </w:r>
      <w:r w:rsidR="000E1804" w:rsidRPr="00BA7C34">
        <w:rPr>
          <w:szCs w:val="24"/>
          <w:highlight w:val="yellow"/>
        </w:rPr>
        <w:t>[</w:t>
      </w:r>
      <w:r w:rsidR="00555B6D">
        <w:rPr>
          <w:rFonts w:ascii="Calibri" w:eastAsia="Calibri" w:hAnsi="Calibri" w:cs="Calibri"/>
          <w:color w:val="000000"/>
          <w:kern w:val="0"/>
          <w:szCs w:val="24"/>
          <w:highlight w:val="yellow"/>
          <w14:ligatures w14:val="none"/>
        </w:rPr>
        <w:t>BUDE DOPLNĚNO</w:t>
      </w:r>
      <w:r w:rsidR="000E1804" w:rsidRPr="00BA7C34">
        <w:rPr>
          <w:szCs w:val="24"/>
          <w:highlight w:val="yellow"/>
        </w:rPr>
        <w:t>]</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034"/>
        <w:gridCol w:w="1345"/>
        <w:gridCol w:w="1441"/>
        <w:gridCol w:w="2268"/>
      </w:tblGrid>
      <w:tr w:rsidR="000E1804" w:rsidRPr="00BA7C34" w14:paraId="10365016" w14:textId="77777777" w:rsidTr="00972326">
        <w:tc>
          <w:tcPr>
            <w:tcW w:w="2126" w:type="dxa"/>
            <w:shd w:val="clear" w:color="auto" w:fill="BFBFBF"/>
          </w:tcPr>
          <w:p w14:paraId="15F3C5FB" w14:textId="77777777" w:rsidR="000E1804" w:rsidRPr="00BA7C34" w:rsidRDefault="000E1804" w:rsidP="00972326">
            <w:pPr>
              <w:jc w:val="center"/>
              <w:rPr>
                <w:b/>
              </w:rPr>
            </w:pPr>
          </w:p>
        </w:tc>
        <w:tc>
          <w:tcPr>
            <w:tcW w:w="2034" w:type="dxa"/>
            <w:tcBorders>
              <w:bottom w:val="single" w:sz="4" w:space="0" w:color="000000"/>
            </w:tcBorders>
            <w:shd w:val="clear" w:color="auto" w:fill="BFBFBF"/>
          </w:tcPr>
          <w:p w14:paraId="43FEE76E" w14:textId="77777777" w:rsidR="000E1804" w:rsidRPr="00BA7C34" w:rsidRDefault="000E1804" w:rsidP="00972326">
            <w:pPr>
              <w:jc w:val="center"/>
              <w:rPr>
                <w:b/>
              </w:rPr>
            </w:pPr>
            <w:r w:rsidRPr="00BA7C34">
              <w:rPr>
                <w:b/>
              </w:rPr>
              <w:t>Příjmení jméno, titul</w:t>
            </w:r>
          </w:p>
        </w:tc>
        <w:tc>
          <w:tcPr>
            <w:tcW w:w="1345" w:type="dxa"/>
            <w:tcBorders>
              <w:bottom w:val="single" w:sz="4" w:space="0" w:color="000000"/>
            </w:tcBorders>
            <w:shd w:val="clear" w:color="auto" w:fill="BFBFBF"/>
          </w:tcPr>
          <w:p w14:paraId="2501381C" w14:textId="77777777" w:rsidR="000E1804" w:rsidRPr="00BA7C34" w:rsidRDefault="000E1804" w:rsidP="00972326">
            <w:pPr>
              <w:jc w:val="center"/>
              <w:rPr>
                <w:b/>
              </w:rPr>
            </w:pPr>
            <w:r w:rsidRPr="00BA7C34">
              <w:rPr>
                <w:b/>
              </w:rPr>
              <w:t>Telefon</w:t>
            </w:r>
          </w:p>
        </w:tc>
        <w:tc>
          <w:tcPr>
            <w:tcW w:w="1441" w:type="dxa"/>
            <w:tcBorders>
              <w:bottom w:val="single" w:sz="4" w:space="0" w:color="000000"/>
            </w:tcBorders>
            <w:shd w:val="clear" w:color="auto" w:fill="BFBFBF"/>
          </w:tcPr>
          <w:p w14:paraId="3AD25926" w14:textId="77777777" w:rsidR="000E1804" w:rsidRPr="00BA7C34" w:rsidRDefault="000E1804" w:rsidP="00972326">
            <w:pPr>
              <w:jc w:val="center"/>
              <w:rPr>
                <w:b/>
              </w:rPr>
            </w:pPr>
            <w:r w:rsidRPr="00BA7C34">
              <w:rPr>
                <w:b/>
              </w:rPr>
              <w:t>GSM</w:t>
            </w:r>
          </w:p>
        </w:tc>
        <w:tc>
          <w:tcPr>
            <w:tcW w:w="2268" w:type="dxa"/>
            <w:tcBorders>
              <w:bottom w:val="single" w:sz="4" w:space="0" w:color="000000"/>
            </w:tcBorders>
            <w:shd w:val="clear" w:color="auto" w:fill="BFBFBF"/>
          </w:tcPr>
          <w:p w14:paraId="32B2CB84" w14:textId="77777777" w:rsidR="000E1804" w:rsidRPr="00BA7C34" w:rsidRDefault="000E1804" w:rsidP="00972326">
            <w:pPr>
              <w:jc w:val="center"/>
              <w:rPr>
                <w:b/>
              </w:rPr>
            </w:pPr>
            <w:r w:rsidRPr="00BA7C34">
              <w:rPr>
                <w:b/>
              </w:rPr>
              <w:t>e-mail</w:t>
            </w:r>
          </w:p>
        </w:tc>
      </w:tr>
      <w:tr w:rsidR="000E1804" w:rsidRPr="00BA7C34" w14:paraId="462B09B3" w14:textId="77777777" w:rsidTr="00972326">
        <w:tc>
          <w:tcPr>
            <w:tcW w:w="2126" w:type="dxa"/>
            <w:shd w:val="clear" w:color="auto" w:fill="auto"/>
          </w:tcPr>
          <w:p w14:paraId="0EAB1A43" w14:textId="77777777" w:rsidR="000E1804" w:rsidRPr="00BA7C34" w:rsidRDefault="000E1804" w:rsidP="00972326">
            <w:pPr>
              <w:pStyle w:val="Zkladntext"/>
              <w:ind w:right="-198"/>
              <w:rPr>
                <w:sz w:val="18"/>
                <w:szCs w:val="18"/>
              </w:rPr>
            </w:pPr>
            <w:r w:rsidRPr="00BA7C34">
              <w:rPr>
                <w:sz w:val="18"/>
                <w:szCs w:val="18"/>
              </w:rPr>
              <w:t>ve věcech technických</w:t>
            </w:r>
          </w:p>
        </w:tc>
        <w:tc>
          <w:tcPr>
            <w:tcW w:w="2034" w:type="dxa"/>
            <w:shd w:val="clear" w:color="auto" w:fill="auto"/>
          </w:tcPr>
          <w:p w14:paraId="551B2DA4" w14:textId="77777777" w:rsidR="000E1804" w:rsidRPr="00BA7C34" w:rsidRDefault="000E1804" w:rsidP="00972326">
            <w:pPr>
              <w:pStyle w:val="Zkladntext"/>
              <w:ind w:right="-198"/>
              <w:rPr>
                <w:sz w:val="18"/>
                <w:szCs w:val="18"/>
              </w:rPr>
            </w:pPr>
          </w:p>
        </w:tc>
        <w:tc>
          <w:tcPr>
            <w:tcW w:w="1345" w:type="dxa"/>
            <w:tcBorders>
              <w:bottom w:val="single" w:sz="4" w:space="0" w:color="000000"/>
            </w:tcBorders>
            <w:shd w:val="clear" w:color="auto" w:fill="auto"/>
          </w:tcPr>
          <w:p w14:paraId="0EB2DA5A" w14:textId="77777777" w:rsidR="000E1804" w:rsidRPr="00BA7C34" w:rsidRDefault="000E1804" w:rsidP="00972326">
            <w:pPr>
              <w:pStyle w:val="Zkladntext"/>
              <w:ind w:right="-198"/>
              <w:rPr>
                <w:sz w:val="18"/>
                <w:szCs w:val="18"/>
              </w:rPr>
            </w:pPr>
          </w:p>
        </w:tc>
        <w:tc>
          <w:tcPr>
            <w:tcW w:w="1441" w:type="dxa"/>
            <w:shd w:val="clear" w:color="auto" w:fill="auto"/>
          </w:tcPr>
          <w:p w14:paraId="7E6F6624" w14:textId="77777777" w:rsidR="000E1804" w:rsidRPr="00BA7C34" w:rsidRDefault="000E1804" w:rsidP="00972326">
            <w:pPr>
              <w:pStyle w:val="Zkladntext"/>
              <w:ind w:right="-198"/>
              <w:rPr>
                <w:sz w:val="18"/>
                <w:szCs w:val="18"/>
              </w:rPr>
            </w:pPr>
          </w:p>
        </w:tc>
        <w:tc>
          <w:tcPr>
            <w:tcW w:w="2268" w:type="dxa"/>
            <w:shd w:val="clear" w:color="auto" w:fill="auto"/>
          </w:tcPr>
          <w:p w14:paraId="12AE5CCE" w14:textId="77777777" w:rsidR="000E1804" w:rsidRPr="00BA7C34" w:rsidRDefault="000E1804" w:rsidP="00972326">
            <w:pPr>
              <w:pStyle w:val="Zkladntext"/>
              <w:ind w:right="-198"/>
              <w:rPr>
                <w:sz w:val="18"/>
                <w:szCs w:val="18"/>
              </w:rPr>
            </w:pPr>
          </w:p>
        </w:tc>
      </w:tr>
      <w:tr w:rsidR="000E1804" w:rsidRPr="00BA7C34" w14:paraId="5A1BAFA1" w14:textId="77777777" w:rsidTr="00972326">
        <w:tc>
          <w:tcPr>
            <w:tcW w:w="2126" w:type="dxa"/>
            <w:shd w:val="clear" w:color="auto" w:fill="auto"/>
          </w:tcPr>
          <w:p w14:paraId="7C200113" w14:textId="77777777" w:rsidR="000E1804" w:rsidRPr="00BA7C34" w:rsidRDefault="000E1804" w:rsidP="00972326">
            <w:pPr>
              <w:pStyle w:val="Zkladntext"/>
              <w:ind w:right="-198"/>
              <w:rPr>
                <w:sz w:val="18"/>
                <w:szCs w:val="18"/>
              </w:rPr>
            </w:pPr>
            <w:r w:rsidRPr="00BA7C34">
              <w:rPr>
                <w:sz w:val="18"/>
                <w:szCs w:val="18"/>
              </w:rPr>
              <w:lastRenderedPageBreak/>
              <w:t xml:space="preserve">ve věcech smluvních </w:t>
            </w:r>
          </w:p>
        </w:tc>
        <w:tc>
          <w:tcPr>
            <w:tcW w:w="2034" w:type="dxa"/>
            <w:shd w:val="clear" w:color="auto" w:fill="auto"/>
          </w:tcPr>
          <w:p w14:paraId="72D62910" w14:textId="77777777" w:rsidR="000E1804" w:rsidRPr="00BA7C34" w:rsidRDefault="000E1804" w:rsidP="00972326">
            <w:pPr>
              <w:pStyle w:val="Zkladntext"/>
              <w:ind w:right="-198"/>
              <w:rPr>
                <w:sz w:val="18"/>
                <w:szCs w:val="18"/>
                <w:highlight w:val="yellow"/>
              </w:rPr>
            </w:pPr>
          </w:p>
        </w:tc>
        <w:tc>
          <w:tcPr>
            <w:tcW w:w="1345" w:type="dxa"/>
            <w:shd w:val="clear" w:color="auto" w:fill="auto"/>
          </w:tcPr>
          <w:p w14:paraId="1CF2520F" w14:textId="77777777" w:rsidR="000E1804" w:rsidRPr="00BA7C34" w:rsidRDefault="000E1804" w:rsidP="00972326">
            <w:pPr>
              <w:pStyle w:val="Zkladntext"/>
              <w:ind w:right="-198"/>
              <w:rPr>
                <w:sz w:val="18"/>
                <w:szCs w:val="18"/>
              </w:rPr>
            </w:pPr>
          </w:p>
        </w:tc>
        <w:tc>
          <w:tcPr>
            <w:tcW w:w="1441" w:type="dxa"/>
            <w:shd w:val="clear" w:color="auto" w:fill="auto"/>
          </w:tcPr>
          <w:p w14:paraId="1742DE0C" w14:textId="77777777" w:rsidR="000E1804" w:rsidRPr="00BA7C34" w:rsidRDefault="000E1804" w:rsidP="00972326">
            <w:pPr>
              <w:pStyle w:val="Zkladntext"/>
              <w:ind w:right="-198"/>
              <w:rPr>
                <w:sz w:val="18"/>
                <w:szCs w:val="18"/>
              </w:rPr>
            </w:pPr>
          </w:p>
        </w:tc>
        <w:tc>
          <w:tcPr>
            <w:tcW w:w="2268" w:type="dxa"/>
            <w:shd w:val="clear" w:color="auto" w:fill="auto"/>
          </w:tcPr>
          <w:p w14:paraId="7B4D289B" w14:textId="77777777" w:rsidR="000E1804" w:rsidRPr="00BA7C34" w:rsidRDefault="000E1804" w:rsidP="00972326">
            <w:pPr>
              <w:pStyle w:val="Zkladntext"/>
              <w:ind w:right="-198"/>
              <w:rPr>
                <w:sz w:val="18"/>
                <w:szCs w:val="18"/>
              </w:rPr>
            </w:pPr>
          </w:p>
        </w:tc>
      </w:tr>
    </w:tbl>
    <w:p w14:paraId="69164220" w14:textId="77777777" w:rsidR="000E1804" w:rsidRDefault="000E1804" w:rsidP="000E1804">
      <w:pPr>
        <w:pStyle w:val="Odstavec"/>
        <w:numPr>
          <w:ilvl w:val="0"/>
          <w:numId w:val="0"/>
        </w:numPr>
      </w:pPr>
    </w:p>
    <w:p w14:paraId="03F8C188" w14:textId="0437D158" w:rsidR="00F94A04" w:rsidRDefault="0020522E" w:rsidP="0020522E">
      <w:pPr>
        <w:pStyle w:val="Odstavec"/>
      </w:pPr>
      <w:r w:rsidRPr="0020522E">
        <w:t>Kontaktní osoby uvedené v tomto článku mohou být Poskytovatelem a Objednatelem kdyko</w:t>
      </w:r>
      <w:r w:rsidR="000E1804">
        <w:t>liv změněny na základě jednostranného písemného oznámení druhé Smluvní straně. Tato změna nevyžaduje samostatný dodatek ke Smlouvě</w:t>
      </w:r>
    </w:p>
    <w:p w14:paraId="3FB0A173" w14:textId="23C64414" w:rsidR="000E1804" w:rsidRPr="0020522E" w:rsidRDefault="000E1804" w:rsidP="0020522E">
      <w:pPr>
        <w:pStyle w:val="Odstavec"/>
      </w:pPr>
      <w:r>
        <w:t xml:space="preserve">V případě nutnosti mohou jako kontaktní osoby působit také jejich nadřízení, nebo jiné osoby pověřené uvedenými kontaktními osobami, případně jejich nadřízenými. </w:t>
      </w:r>
    </w:p>
    <w:p w14:paraId="1DE6EBE2" w14:textId="1A7352A1" w:rsidR="00E4581C" w:rsidRDefault="00E4581C" w:rsidP="0020522E">
      <w:pPr>
        <w:pStyle w:val="Nadpis1"/>
        <w:ind w:left="426" w:hanging="426"/>
      </w:pPr>
      <w:r>
        <w:t>Závěrečná ustanovení</w:t>
      </w:r>
    </w:p>
    <w:p w14:paraId="142564FC" w14:textId="77777777" w:rsidR="00F23336" w:rsidRPr="00F23336" w:rsidRDefault="00F23336" w:rsidP="00F23336">
      <w:pPr>
        <w:pStyle w:val="Odstavec"/>
      </w:pPr>
      <w:r w:rsidRPr="00F23336">
        <w:t xml:space="preserve">Smlouva a jednotlivé dílčí objednávky nabývají platnosti dnem jejich podpisu druhou ze Smluvních stran. Účinnosti nabývá Smlouva a dílčí objednávky, na které se vztahuje zákon č. 340/2015 Sb., o zvláštních podmínkách účinnosti některých smluv, uveřejňování těchto smluv a o registru smluv (zákon o registru smluv), dnem jejich zveřejnění v registru smluv. Realizace plnění je možná až od data účinnosti. Dílčí objednávky, na které se nevztahuje zákon o registru smluv, nabývají účinnosti dnem jejich podpisu druhou ze Smluvních stran. </w:t>
      </w:r>
    </w:p>
    <w:p w14:paraId="799FD150" w14:textId="08FB05C8" w:rsidR="00F23336" w:rsidRPr="00F23336" w:rsidRDefault="00F23336" w:rsidP="00F23336">
      <w:pPr>
        <w:pStyle w:val="Odstavec"/>
      </w:pPr>
      <w:r w:rsidRPr="00F23336">
        <w:t xml:space="preserve">Tato Smlouva se uzavírá v písemné formě, přičemž veškeré její změny je možno učinit jen v písemné formě, a to vzestupně číslovanými dodatky podepsanými oběma Smluvními stranami. Změny </w:t>
      </w:r>
      <w:r w:rsidR="00A73312">
        <w:t xml:space="preserve">týkající se místa plnění, </w:t>
      </w:r>
      <w:r w:rsidRPr="00F23336">
        <w:t xml:space="preserve">fakturačních údajů nebo změny kontaktních osob nevyžadují dodatek ke Smlouvě, ale je možné je provést na základě písemného oznámení druhé Smluvní straně. </w:t>
      </w:r>
    </w:p>
    <w:p w14:paraId="032DEBFE" w14:textId="12749A8B" w:rsidR="00F23336" w:rsidRPr="00F23336" w:rsidRDefault="00F23336" w:rsidP="00F23336">
      <w:pPr>
        <w:pStyle w:val="Odstavec"/>
      </w:pPr>
      <w:r w:rsidRPr="00F23336">
        <w:t xml:space="preserve">Tato Smlouva byla vyhotovena v jednom elektronickém stejnopisu a bude smluvními stranami podepisována </w:t>
      </w:r>
      <w:r w:rsidR="00476FBD">
        <w:t xml:space="preserve">kvalifikovaným </w:t>
      </w:r>
      <w:r w:rsidRPr="00F23336">
        <w:t>elektronick</w:t>
      </w:r>
      <w:r w:rsidR="00476FBD">
        <w:t>ým podpisem</w:t>
      </w:r>
      <w:r w:rsidRPr="00F23336">
        <w:t>.</w:t>
      </w:r>
    </w:p>
    <w:p w14:paraId="13C3218E" w14:textId="77777777" w:rsidR="00F23336" w:rsidRPr="00F23336" w:rsidRDefault="00F23336" w:rsidP="00F23336">
      <w:pPr>
        <w:pStyle w:val="Odstavec"/>
      </w:pPr>
      <w:r w:rsidRPr="00F23336">
        <w:t>Pokud se kterékoli ustanovení této Smlouvy stane nebo bude shledáno neplatným nebo nevymahatelným, nebude tím dotčena platnost a vymahatelnost ostatních ustanovení v této Smlouvě. V takovém případě se Smluvní strany zavazují řádně jednat za účelem nahrazení neplatného či nevymahatelného ustanovení ustanovením platným a vymahatelným v souladu s účelem této Smlouvy.</w:t>
      </w:r>
    </w:p>
    <w:p w14:paraId="3FEAF37E" w14:textId="77777777" w:rsidR="00F23336" w:rsidRPr="00F23336" w:rsidRDefault="00F23336" w:rsidP="00F23336">
      <w:pPr>
        <w:pStyle w:val="Odstavec"/>
      </w:pPr>
      <w:r w:rsidRPr="00F23336">
        <w:t>Smluvní strany se zavazují pokusit se vyřešit smírčí cestou jakýkoli spor mezi sebou,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14:paraId="338C0E61" w14:textId="1E5990AD" w:rsidR="00F23336" w:rsidRPr="00F23336" w:rsidRDefault="00F23336" w:rsidP="00F23336">
      <w:pPr>
        <w:pStyle w:val="Odstavec"/>
      </w:pPr>
      <w:r w:rsidRPr="00F23336">
        <w:t>V souladu se zákonem č. 340/2015 Sb., o zvláštních podmínkách účinnosti některých smluv, uveřejňování těchto smluv a o registru smluv (zákon o registru smluv)</w:t>
      </w:r>
      <w:r w:rsidR="005569E9">
        <w:t>,</w:t>
      </w:r>
      <w:r w:rsidRPr="00F23336">
        <w:t xml:space="preserve"> zajistí Objednatel uveřejnění celého textu Smlouvy, vyjma osobních údajů, a metadat Smlouvy v registru smluv, včetně případných oprav s tím, že nezajistí-li Objednatel uveřejnění Smlouvy nebo metadat Smlouvy v registru smluv do 30 dnů od uzavření Smlouvy, pak je oprávněn zajistit jejich uveřejnění Poskytovatel ve lhůtě tří měsíců od uzavření Smlouvy. Poskytovatel bere na vědomí, že dle výše uvedeného budou zveřejněny i jednotlivé dílčí objednávky, splňují-li však samy o sobě zákonné podmínky pro uveřejnění v registru smluv. </w:t>
      </w:r>
    </w:p>
    <w:p w14:paraId="1F105E68" w14:textId="77777777" w:rsidR="00F23336" w:rsidRPr="00F23336" w:rsidRDefault="00F23336" w:rsidP="00F23336">
      <w:pPr>
        <w:pStyle w:val="Odstavec"/>
      </w:pPr>
      <w:r w:rsidRPr="00F23336">
        <w:t>Práva a povinnosti Smluvních stran výslovně v této Smlouvě neupravené se řídí Občanským zákoníkem.</w:t>
      </w:r>
    </w:p>
    <w:p w14:paraId="520273FA" w14:textId="77777777" w:rsidR="00F23336" w:rsidRPr="00F23336" w:rsidRDefault="00F23336" w:rsidP="00F23336">
      <w:pPr>
        <w:pStyle w:val="Odstavec"/>
      </w:pPr>
      <w:r w:rsidRPr="00F23336">
        <w:t>Poskytovatel bere na vědomí, že prostory objektů Objednatele jsou monitorovány kamerovým systémem.</w:t>
      </w:r>
    </w:p>
    <w:p w14:paraId="3A13D5E4" w14:textId="5867ED44" w:rsidR="00E4581C" w:rsidRDefault="00E4581C" w:rsidP="0020522E">
      <w:pPr>
        <w:pStyle w:val="Nadpis1"/>
        <w:ind w:left="426" w:hanging="426"/>
      </w:pPr>
      <w:r>
        <w:lastRenderedPageBreak/>
        <w:t>Přílohy</w:t>
      </w:r>
    </w:p>
    <w:p w14:paraId="4092CA1E" w14:textId="379DFD5C" w:rsidR="00F94A04" w:rsidRDefault="00F94A04" w:rsidP="00F94A04">
      <w:bookmarkStart w:id="9" w:name="_Hlk139978171"/>
      <w:r w:rsidRPr="00BA7C34">
        <w:t xml:space="preserve">Příloha č. 1 – </w:t>
      </w:r>
      <w:r w:rsidR="00F23336" w:rsidRPr="00F23336">
        <w:t>Parametrizace ústředen</w:t>
      </w:r>
    </w:p>
    <w:bookmarkEnd w:id="9"/>
    <w:p w14:paraId="054C39D4" w14:textId="77777777" w:rsidR="00F94A04" w:rsidRDefault="00F94A04" w:rsidP="00F94A04"/>
    <w:tbl>
      <w:tblPr>
        <w:tblStyle w:val="Mkatabulky"/>
        <w:tblW w:w="9209" w:type="dxa"/>
        <w:tblLook w:val="04A0" w:firstRow="1" w:lastRow="0" w:firstColumn="1" w:lastColumn="0" w:noHBand="0" w:noVBand="1"/>
      </w:tblPr>
      <w:tblGrid>
        <w:gridCol w:w="4776"/>
        <w:gridCol w:w="4776"/>
      </w:tblGrid>
      <w:tr w:rsidR="00F94A04" w:rsidRPr="00F94A04" w14:paraId="57AB47BB" w14:textId="77777777" w:rsidTr="00F13FE9">
        <w:trPr>
          <w:trHeight w:val="1608"/>
        </w:trPr>
        <w:tc>
          <w:tcPr>
            <w:tcW w:w="4531" w:type="dxa"/>
          </w:tcPr>
          <w:p w14:paraId="7A41C931" w14:textId="77777777" w:rsidR="00F94A04" w:rsidRPr="00F94A04" w:rsidRDefault="00F94A04" w:rsidP="00F94A04">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V Praze dne……………………... 2023</w:t>
            </w:r>
          </w:p>
          <w:p w14:paraId="48D04E77" w14:textId="77777777" w:rsidR="00F94A04" w:rsidRPr="00F94A04" w:rsidRDefault="00F94A04" w:rsidP="00F94A04">
            <w:pPr>
              <w:rPr>
                <w:rFonts w:ascii="Times New Roman" w:eastAsia="Times New Roman" w:hAnsi="Times New Roman" w:cs="Times New Roman"/>
                <w:sz w:val="24"/>
                <w:szCs w:val="24"/>
              </w:rPr>
            </w:pPr>
          </w:p>
          <w:p w14:paraId="7A5F1A32" w14:textId="77777777" w:rsidR="00F94A04" w:rsidRPr="00F94A04" w:rsidRDefault="00F94A04" w:rsidP="00F94A04">
            <w:pPr>
              <w:rPr>
                <w:rFonts w:ascii="Times New Roman" w:eastAsia="Times New Roman" w:hAnsi="Times New Roman" w:cs="Times New Roman"/>
                <w:sz w:val="24"/>
                <w:szCs w:val="24"/>
              </w:rPr>
            </w:pPr>
          </w:p>
          <w:p w14:paraId="2D7CF0BE" w14:textId="77777777" w:rsidR="00F94A04" w:rsidRPr="00F94A04" w:rsidRDefault="00F94A04" w:rsidP="00F94A04">
            <w:pPr>
              <w:rPr>
                <w:rFonts w:ascii="Times New Roman" w:eastAsia="Times New Roman" w:hAnsi="Times New Roman" w:cs="Times New Roman"/>
                <w:sz w:val="24"/>
                <w:szCs w:val="24"/>
              </w:rPr>
            </w:pPr>
          </w:p>
          <w:p w14:paraId="2D2C772D" w14:textId="77777777" w:rsidR="00F94A04" w:rsidRPr="00F94A04" w:rsidRDefault="00F94A04" w:rsidP="00F94A04">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w:t>
            </w:r>
          </w:p>
        </w:tc>
        <w:tc>
          <w:tcPr>
            <w:tcW w:w="4678" w:type="dxa"/>
          </w:tcPr>
          <w:p w14:paraId="1DE4BE22" w14:textId="77777777" w:rsidR="00F94A04" w:rsidRPr="00F94A04" w:rsidRDefault="00F94A04" w:rsidP="00F94A04">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V Praze dne……………………... 2023</w:t>
            </w:r>
          </w:p>
          <w:p w14:paraId="6B5EEE73" w14:textId="77777777" w:rsidR="00F94A04" w:rsidRPr="00F94A04" w:rsidRDefault="00F94A04" w:rsidP="00F94A04">
            <w:pPr>
              <w:rPr>
                <w:rFonts w:ascii="Times New Roman" w:eastAsia="Times New Roman" w:hAnsi="Times New Roman" w:cs="Times New Roman"/>
                <w:sz w:val="24"/>
                <w:szCs w:val="24"/>
              </w:rPr>
            </w:pPr>
          </w:p>
          <w:p w14:paraId="33EE9249" w14:textId="77777777" w:rsidR="00F94A04" w:rsidRPr="00F94A04" w:rsidRDefault="00F94A04" w:rsidP="00F94A04">
            <w:pPr>
              <w:rPr>
                <w:rFonts w:ascii="Times New Roman" w:eastAsia="Times New Roman" w:hAnsi="Times New Roman" w:cs="Times New Roman"/>
                <w:sz w:val="24"/>
                <w:szCs w:val="24"/>
              </w:rPr>
            </w:pPr>
          </w:p>
          <w:p w14:paraId="626ED28F" w14:textId="77777777" w:rsidR="00F94A04" w:rsidRPr="00F94A04" w:rsidRDefault="00F94A04" w:rsidP="00F94A04">
            <w:pPr>
              <w:rPr>
                <w:rFonts w:ascii="Times New Roman" w:eastAsia="Times New Roman" w:hAnsi="Times New Roman" w:cs="Times New Roman"/>
                <w:sz w:val="24"/>
                <w:szCs w:val="24"/>
              </w:rPr>
            </w:pPr>
          </w:p>
          <w:p w14:paraId="5090A232" w14:textId="77777777" w:rsidR="00F94A04" w:rsidRPr="00F94A04" w:rsidRDefault="00F94A04" w:rsidP="00F94A04">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w:t>
            </w:r>
          </w:p>
        </w:tc>
      </w:tr>
      <w:tr w:rsidR="00F94A04" w:rsidRPr="00F94A04" w14:paraId="4ADBD86C" w14:textId="77777777" w:rsidTr="00F13FE9">
        <w:trPr>
          <w:trHeight w:val="344"/>
        </w:trPr>
        <w:tc>
          <w:tcPr>
            <w:tcW w:w="4531" w:type="dxa"/>
          </w:tcPr>
          <w:p w14:paraId="60EBBC87" w14:textId="77777777" w:rsidR="00F94A04" w:rsidRPr="00F94A04" w:rsidRDefault="00F94A04" w:rsidP="00F94A04">
            <w:pPr>
              <w:jc w:val="cente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Ing. Narek Oganesjan</w:t>
            </w:r>
          </w:p>
        </w:tc>
        <w:tc>
          <w:tcPr>
            <w:tcW w:w="4678" w:type="dxa"/>
          </w:tcPr>
          <w:p w14:paraId="4EAC80F3" w14:textId="5740773E" w:rsidR="00F94A04" w:rsidRPr="00F94A04" w:rsidRDefault="00F94A04" w:rsidP="00F94A04">
            <w:pPr>
              <w:jc w:val="center"/>
              <w:rPr>
                <w:rFonts w:ascii="Times New Roman" w:eastAsia="Times New Roman" w:hAnsi="Times New Roman" w:cs="Times New Roman"/>
                <w:sz w:val="24"/>
                <w:szCs w:val="24"/>
                <w:highlight w:val="yellow"/>
              </w:rPr>
            </w:pPr>
            <w:r w:rsidRPr="00F94A04">
              <w:rPr>
                <w:rFonts w:ascii="Times New Roman" w:eastAsia="Times New Roman" w:hAnsi="Times New Roman" w:cs="Times New Roman"/>
                <w:sz w:val="24"/>
                <w:szCs w:val="24"/>
                <w:highlight w:val="yellow"/>
              </w:rPr>
              <w:t>Jméno [</w:t>
            </w:r>
            <w:r w:rsidR="00555B6D">
              <w:rPr>
                <w:rFonts w:ascii="Calibri" w:eastAsia="Calibri" w:hAnsi="Calibri" w:cs="Calibri"/>
                <w:color w:val="000000"/>
                <w:sz w:val="24"/>
                <w:szCs w:val="24"/>
                <w:highlight w:val="yellow"/>
              </w:rPr>
              <w:t>BUDE DOPLNĚNO</w:t>
            </w:r>
            <w:r w:rsidRPr="00F94A04">
              <w:rPr>
                <w:rFonts w:ascii="Times New Roman" w:eastAsia="Times New Roman" w:hAnsi="Times New Roman" w:cs="Times New Roman"/>
                <w:sz w:val="24"/>
                <w:szCs w:val="24"/>
                <w:highlight w:val="yellow"/>
              </w:rPr>
              <w:t>]</w:t>
            </w:r>
          </w:p>
        </w:tc>
      </w:tr>
      <w:tr w:rsidR="00F94A04" w:rsidRPr="00F94A04" w14:paraId="1D7B6BED" w14:textId="77777777" w:rsidTr="00F13FE9">
        <w:trPr>
          <w:trHeight w:val="863"/>
        </w:trPr>
        <w:tc>
          <w:tcPr>
            <w:tcW w:w="4531" w:type="dxa"/>
          </w:tcPr>
          <w:p w14:paraId="6F0A8185" w14:textId="77777777" w:rsidR="00F94A04" w:rsidRPr="00F94A04" w:rsidRDefault="00F94A04" w:rsidP="00F94A04">
            <w:pPr>
              <w:jc w:val="cente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Ředitel odboru informatiky</w:t>
            </w:r>
          </w:p>
          <w:p w14:paraId="0117C6CD" w14:textId="77777777" w:rsidR="00F94A04" w:rsidRPr="00F94A04" w:rsidRDefault="00F94A04" w:rsidP="00F94A04">
            <w:pPr>
              <w:jc w:val="cente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Ministerstvo školství, mládeže a tělovýchovy</w:t>
            </w:r>
          </w:p>
        </w:tc>
        <w:tc>
          <w:tcPr>
            <w:tcW w:w="4678" w:type="dxa"/>
          </w:tcPr>
          <w:p w14:paraId="08326724" w14:textId="5F2B63DB" w:rsidR="00F94A04" w:rsidRPr="00F94A04" w:rsidRDefault="00F94A04" w:rsidP="00F94A04">
            <w:pPr>
              <w:jc w:val="center"/>
              <w:rPr>
                <w:rFonts w:ascii="Times New Roman" w:eastAsia="Times New Roman" w:hAnsi="Times New Roman" w:cs="Times New Roman"/>
                <w:sz w:val="24"/>
                <w:szCs w:val="24"/>
                <w:highlight w:val="yellow"/>
              </w:rPr>
            </w:pPr>
            <w:r w:rsidRPr="00F94A04">
              <w:rPr>
                <w:rFonts w:ascii="Times New Roman" w:eastAsia="Times New Roman" w:hAnsi="Times New Roman" w:cs="Times New Roman"/>
                <w:sz w:val="24"/>
                <w:szCs w:val="24"/>
                <w:highlight w:val="yellow"/>
              </w:rPr>
              <w:t>Funkce [</w:t>
            </w:r>
            <w:r w:rsidR="00555B6D">
              <w:rPr>
                <w:rFonts w:ascii="Calibri" w:eastAsia="Calibri" w:hAnsi="Calibri" w:cs="Calibri"/>
                <w:color w:val="000000"/>
                <w:sz w:val="24"/>
                <w:szCs w:val="24"/>
                <w:highlight w:val="yellow"/>
              </w:rPr>
              <w:t>BUDE DOPLNĚNO</w:t>
            </w:r>
            <w:r w:rsidRPr="00F94A04">
              <w:rPr>
                <w:rFonts w:ascii="Times New Roman" w:eastAsia="Times New Roman" w:hAnsi="Times New Roman" w:cs="Times New Roman"/>
                <w:sz w:val="24"/>
                <w:szCs w:val="24"/>
                <w:highlight w:val="yellow"/>
              </w:rPr>
              <w:t>]</w:t>
            </w:r>
          </w:p>
          <w:p w14:paraId="10AB7A31" w14:textId="1EA2BCB3" w:rsidR="00F94A04" w:rsidRPr="00F94A04" w:rsidRDefault="00F94A04" w:rsidP="00F94A04">
            <w:pPr>
              <w:jc w:val="center"/>
              <w:rPr>
                <w:rFonts w:ascii="Times New Roman" w:eastAsia="Times New Roman" w:hAnsi="Times New Roman" w:cs="Times New Roman"/>
                <w:sz w:val="24"/>
                <w:szCs w:val="24"/>
                <w:highlight w:val="yellow"/>
              </w:rPr>
            </w:pPr>
            <w:r w:rsidRPr="00F94A04">
              <w:rPr>
                <w:rFonts w:ascii="Times New Roman" w:eastAsia="Times New Roman" w:hAnsi="Times New Roman" w:cs="Times New Roman"/>
                <w:sz w:val="24"/>
                <w:szCs w:val="24"/>
                <w:highlight w:val="yellow"/>
              </w:rPr>
              <w:t>Název dodavatele [</w:t>
            </w:r>
            <w:r w:rsidR="00555B6D">
              <w:rPr>
                <w:rFonts w:ascii="Calibri" w:eastAsia="Calibri" w:hAnsi="Calibri" w:cs="Calibri"/>
                <w:color w:val="000000"/>
                <w:sz w:val="24"/>
                <w:szCs w:val="24"/>
                <w:highlight w:val="yellow"/>
              </w:rPr>
              <w:t>BUDE DOPLNĚNO</w:t>
            </w:r>
            <w:r w:rsidRPr="00F94A04">
              <w:rPr>
                <w:rFonts w:ascii="Times New Roman" w:eastAsia="Times New Roman" w:hAnsi="Times New Roman" w:cs="Times New Roman"/>
                <w:sz w:val="24"/>
                <w:szCs w:val="24"/>
                <w:highlight w:val="yellow"/>
              </w:rPr>
              <w:t>]</w:t>
            </w:r>
          </w:p>
        </w:tc>
      </w:tr>
      <w:tr w:rsidR="00F94A04" w:rsidRPr="00F94A04" w14:paraId="19C15D6F" w14:textId="77777777" w:rsidTr="00F13FE9">
        <w:trPr>
          <w:gridAfter w:val="1"/>
          <w:wAfter w:w="4678" w:type="dxa"/>
          <w:trHeight w:val="1610"/>
        </w:trPr>
        <w:tc>
          <w:tcPr>
            <w:tcW w:w="4531" w:type="dxa"/>
          </w:tcPr>
          <w:p w14:paraId="22E8352F" w14:textId="77777777" w:rsidR="00F94A04" w:rsidRPr="00F94A04" w:rsidRDefault="00F94A04" w:rsidP="00F94A04">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V Praze dne……………………... 2023</w:t>
            </w:r>
          </w:p>
          <w:p w14:paraId="414D123F" w14:textId="77777777" w:rsidR="00F94A04" w:rsidRPr="00F94A04" w:rsidRDefault="00F94A04" w:rsidP="00F94A04">
            <w:pPr>
              <w:rPr>
                <w:rFonts w:ascii="Times New Roman" w:eastAsia="Times New Roman" w:hAnsi="Times New Roman" w:cs="Times New Roman"/>
                <w:sz w:val="24"/>
                <w:szCs w:val="24"/>
              </w:rPr>
            </w:pPr>
          </w:p>
          <w:p w14:paraId="44C1C5A1" w14:textId="77777777" w:rsidR="00F94A04" w:rsidRPr="00F94A04" w:rsidRDefault="00F94A04" w:rsidP="00F94A04">
            <w:pPr>
              <w:rPr>
                <w:rFonts w:ascii="Times New Roman" w:eastAsia="Times New Roman" w:hAnsi="Times New Roman" w:cs="Times New Roman"/>
                <w:sz w:val="24"/>
                <w:szCs w:val="24"/>
              </w:rPr>
            </w:pPr>
          </w:p>
          <w:p w14:paraId="58C77F43" w14:textId="77777777" w:rsidR="00F94A04" w:rsidRPr="00F94A04" w:rsidRDefault="00F94A04" w:rsidP="00F94A04">
            <w:pPr>
              <w:rPr>
                <w:rFonts w:ascii="Times New Roman" w:eastAsia="Times New Roman" w:hAnsi="Times New Roman" w:cs="Times New Roman"/>
                <w:sz w:val="24"/>
                <w:szCs w:val="24"/>
              </w:rPr>
            </w:pPr>
          </w:p>
          <w:p w14:paraId="786A1C01" w14:textId="77777777" w:rsidR="00F94A04" w:rsidRPr="00F94A04" w:rsidRDefault="00F94A04" w:rsidP="00F94A04">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w:t>
            </w:r>
          </w:p>
        </w:tc>
      </w:tr>
      <w:tr w:rsidR="00F94A04" w:rsidRPr="00F94A04" w14:paraId="2DA467DE" w14:textId="77777777" w:rsidTr="00F13FE9">
        <w:trPr>
          <w:gridAfter w:val="1"/>
          <w:wAfter w:w="4678" w:type="dxa"/>
          <w:trHeight w:val="346"/>
        </w:trPr>
        <w:tc>
          <w:tcPr>
            <w:tcW w:w="4531" w:type="dxa"/>
          </w:tcPr>
          <w:p w14:paraId="2A2A2399" w14:textId="77777777" w:rsidR="00F94A04" w:rsidRPr="00F94A04" w:rsidRDefault="00F94A04" w:rsidP="00F94A04">
            <w:pPr>
              <w:jc w:val="cente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Bc. Jan Frisch</w:t>
            </w:r>
          </w:p>
        </w:tc>
      </w:tr>
      <w:tr w:rsidR="00F94A04" w:rsidRPr="00F94A04" w14:paraId="1F71C6AE" w14:textId="77777777" w:rsidTr="00F13FE9">
        <w:trPr>
          <w:gridAfter w:val="1"/>
          <w:wAfter w:w="4678" w:type="dxa"/>
          <w:trHeight w:val="863"/>
        </w:trPr>
        <w:tc>
          <w:tcPr>
            <w:tcW w:w="4531" w:type="dxa"/>
          </w:tcPr>
          <w:p w14:paraId="17318DD6" w14:textId="77777777" w:rsidR="00F94A04" w:rsidRPr="00F94A04" w:rsidRDefault="00F94A04" w:rsidP="00F94A04">
            <w:pPr>
              <w:jc w:val="cente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Ředitel odboru technické pomoci</w:t>
            </w:r>
          </w:p>
          <w:p w14:paraId="631B0A94" w14:textId="77777777" w:rsidR="00F94A04" w:rsidRPr="00F94A04" w:rsidRDefault="00F94A04" w:rsidP="00F94A04">
            <w:pPr>
              <w:jc w:val="cente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Ministerstvo školství, mládeže a tělovýchovy</w:t>
            </w:r>
          </w:p>
        </w:tc>
      </w:tr>
    </w:tbl>
    <w:p w14:paraId="0BEDB677" w14:textId="77777777" w:rsidR="00F94A04" w:rsidRPr="00BA7C34" w:rsidRDefault="00F94A04" w:rsidP="00F94A04"/>
    <w:p w14:paraId="733C0D52" w14:textId="77777777" w:rsidR="00F94A04" w:rsidRPr="00BA7C34" w:rsidRDefault="00F94A04" w:rsidP="00F94A04"/>
    <w:p w14:paraId="509C0BA8" w14:textId="77777777" w:rsidR="005E6A82" w:rsidRDefault="005E6A82" w:rsidP="00F94A04">
      <w:pPr>
        <w:sectPr w:rsidR="005E6A82" w:rsidSect="006F1413">
          <w:type w:val="continuous"/>
          <w:pgSz w:w="11906" w:h="16838"/>
          <w:pgMar w:top="1417" w:right="1417" w:bottom="1417" w:left="1417" w:header="708" w:footer="708" w:gutter="0"/>
          <w:cols w:space="708"/>
          <w:docGrid w:linePitch="360"/>
        </w:sectPr>
      </w:pPr>
    </w:p>
    <w:p w14:paraId="056EBBDA" w14:textId="77777777" w:rsidR="005E6A82" w:rsidRPr="005E6A82" w:rsidRDefault="005E6A82" w:rsidP="005E6A82">
      <w:r w:rsidRPr="005E6A82">
        <w:lastRenderedPageBreak/>
        <w:t>Příloha č. 1 – Parametrizace ústředen</w:t>
      </w:r>
    </w:p>
    <w:tbl>
      <w:tblPr>
        <w:tblW w:w="15140" w:type="dxa"/>
        <w:tblCellMar>
          <w:left w:w="70" w:type="dxa"/>
          <w:right w:w="70" w:type="dxa"/>
        </w:tblCellMar>
        <w:tblLook w:val="04A0" w:firstRow="1" w:lastRow="0" w:firstColumn="1" w:lastColumn="0" w:noHBand="0" w:noVBand="1"/>
      </w:tblPr>
      <w:tblGrid>
        <w:gridCol w:w="5860"/>
        <w:gridCol w:w="2460"/>
        <w:gridCol w:w="2980"/>
        <w:gridCol w:w="3840"/>
      </w:tblGrid>
      <w:tr w:rsidR="005E6A82" w:rsidRPr="005E6A82" w14:paraId="6004C90F" w14:textId="77777777" w:rsidTr="005E6A82">
        <w:trPr>
          <w:trHeight w:val="315"/>
        </w:trPr>
        <w:tc>
          <w:tcPr>
            <w:tcW w:w="5860" w:type="dxa"/>
            <w:tcBorders>
              <w:top w:val="single" w:sz="8" w:space="0" w:color="auto"/>
              <w:left w:val="single" w:sz="8" w:space="0" w:color="auto"/>
              <w:bottom w:val="single" w:sz="8" w:space="0" w:color="auto"/>
              <w:right w:val="single" w:sz="4" w:space="0" w:color="auto"/>
            </w:tcBorders>
            <w:shd w:val="clear" w:color="000000" w:fill="00B0F0"/>
            <w:noWrap/>
            <w:vAlign w:val="bottom"/>
            <w:hideMark/>
          </w:tcPr>
          <w:p w14:paraId="1DA2E04E" w14:textId="77777777" w:rsidR="005E6A82" w:rsidRPr="005E6A82" w:rsidRDefault="005E6A82" w:rsidP="005E6A82">
            <w:pPr>
              <w:spacing w:after="0" w:line="240" w:lineRule="auto"/>
              <w:jc w:val="center"/>
              <w:rPr>
                <w:rFonts w:ascii="Calibri" w:eastAsia="Times New Roman" w:hAnsi="Calibri" w:cs="Calibri"/>
                <w:b/>
                <w:bCs/>
                <w:color w:val="000000"/>
                <w:kern w:val="0"/>
                <w:lang w:eastAsia="cs-CZ"/>
                <w14:ligatures w14:val="none"/>
              </w:rPr>
            </w:pPr>
            <w:r w:rsidRPr="005E6A82">
              <w:rPr>
                <w:rFonts w:ascii="Calibri" w:eastAsia="Times New Roman" w:hAnsi="Calibri" w:cs="Calibri"/>
                <w:b/>
                <w:bCs/>
                <w:color w:val="000000"/>
                <w:kern w:val="0"/>
                <w:lang w:eastAsia="cs-CZ"/>
                <w14:ligatures w14:val="none"/>
              </w:rPr>
              <w:t>Lokalita</w:t>
            </w:r>
          </w:p>
        </w:tc>
        <w:tc>
          <w:tcPr>
            <w:tcW w:w="2460" w:type="dxa"/>
            <w:tcBorders>
              <w:top w:val="single" w:sz="8" w:space="0" w:color="auto"/>
              <w:left w:val="nil"/>
              <w:bottom w:val="single" w:sz="8" w:space="0" w:color="auto"/>
              <w:right w:val="single" w:sz="4" w:space="0" w:color="auto"/>
            </w:tcBorders>
            <w:shd w:val="clear" w:color="000000" w:fill="00B0F0"/>
            <w:noWrap/>
            <w:vAlign w:val="bottom"/>
            <w:hideMark/>
          </w:tcPr>
          <w:p w14:paraId="0C83D965" w14:textId="77777777" w:rsidR="005E6A82" w:rsidRPr="005E6A82" w:rsidRDefault="005E6A82" w:rsidP="005E6A82">
            <w:pPr>
              <w:spacing w:after="0" w:line="240" w:lineRule="auto"/>
              <w:jc w:val="center"/>
              <w:rPr>
                <w:rFonts w:ascii="Calibri" w:eastAsia="Times New Roman" w:hAnsi="Calibri" w:cs="Calibri"/>
                <w:b/>
                <w:bCs/>
                <w:color w:val="000000"/>
                <w:kern w:val="0"/>
                <w:lang w:eastAsia="cs-CZ"/>
                <w14:ligatures w14:val="none"/>
              </w:rPr>
            </w:pPr>
            <w:r w:rsidRPr="005E6A82">
              <w:rPr>
                <w:rFonts w:ascii="Calibri" w:eastAsia="Times New Roman" w:hAnsi="Calibri" w:cs="Calibri"/>
                <w:b/>
                <w:bCs/>
                <w:color w:val="000000"/>
                <w:kern w:val="0"/>
                <w:lang w:eastAsia="cs-CZ"/>
                <w14:ligatures w14:val="none"/>
              </w:rPr>
              <w:t>Typ ústředny</w:t>
            </w:r>
          </w:p>
        </w:tc>
        <w:tc>
          <w:tcPr>
            <w:tcW w:w="2980" w:type="dxa"/>
            <w:tcBorders>
              <w:top w:val="single" w:sz="8" w:space="0" w:color="auto"/>
              <w:left w:val="nil"/>
              <w:bottom w:val="single" w:sz="8" w:space="0" w:color="auto"/>
              <w:right w:val="single" w:sz="4" w:space="0" w:color="auto"/>
            </w:tcBorders>
            <w:shd w:val="clear" w:color="000000" w:fill="00B0F0"/>
            <w:noWrap/>
            <w:vAlign w:val="bottom"/>
            <w:hideMark/>
          </w:tcPr>
          <w:p w14:paraId="3937AEFD" w14:textId="77777777" w:rsidR="005E6A82" w:rsidRPr="005E6A82" w:rsidRDefault="005E6A82" w:rsidP="005E6A82">
            <w:pPr>
              <w:spacing w:after="0" w:line="240" w:lineRule="auto"/>
              <w:jc w:val="center"/>
              <w:rPr>
                <w:rFonts w:ascii="Calibri" w:eastAsia="Times New Roman" w:hAnsi="Calibri" w:cs="Calibri"/>
                <w:b/>
                <w:bCs/>
                <w:color w:val="000000"/>
                <w:kern w:val="0"/>
                <w:lang w:eastAsia="cs-CZ"/>
                <w14:ligatures w14:val="none"/>
              </w:rPr>
            </w:pPr>
            <w:r w:rsidRPr="005E6A82">
              <w:rPr>
                <w:rFonts w:ascii="Calibri" w:eastAsia="Times New Roman" w:hAnsi="Calibri" w:cs="Calibri"/>
                <w:b/>
                <w:bCs/>
                <w:color w:val="000000"/>
                <w:kern w:val="0"/>
                <w:lang w:eastAsia="cs-CZ"/>
                <w14:ligatures w14:val="none"/>
              </w:rPr>
              <w:t>Počet ústředen v dané lokalitě</w:t>
            </w:r>
          </w:p>
        </w:tc>
        <w:tc>
          <w:tcPr>
            <w:tcW w:w="3840" w:type="dxa"/>
            <w:tcBorders>
              <w:top w:val="single" w:sz="8" w:space="0" w:color="auto"/>
              <w:left w:val="nil"/>
              <w:bottom w:val="single" w:sz="8" w:space="0" w:color="auto"/>
              <w:right w:val="single" w:sz="8" w:space="0" w:color="auto"/>
            </w:tcBorders>
            <w:shd w:val="clear" w:color="000000" w:fill="00B0F0"/>
            <w:noWrap/>
            <w:vAlign w:val="bottom"/>
            <w:hideMark/>
          </w:tcPr>
          <w:p w14:paraId="2840FBB3" w14:textId="77777777" w:rsidR="005E6A82" w:rsidRPr="005E6A82" w:rsidRDefault="005E6A82" w:rsidP="005E6A82">
            <w:pPr>
              <w:spacing w:after="0" w:line="240" w:lineRule="auto"/>
              <w:jc w:val="center"/>
              <w:rPr>
                <w:rFonts w:ascii="Calibri" w:eastAsia="Times New Roman" w:hAnsi="Calibri" w:cs="Calibri"/>
                <w:b/>
                <w:bCs/>
                <w:color w:val="000000"/>
                <w:kern w:val="0"/>
                <w:lang w:eastAsia="cs-CZ"/>
                <w14:ligatures w14:val="none"/>
              </w:rPr>
            </w:pPr>
            <w:r w:rsidRPr="005E6A82">
              <w:rPr>
                <w:rFonts w:ascii="Calibri" w:eastAsia="Times New Roman" w:hAnsi="Calibri" w:cs="Calibri"/>
                <w:b/>
                <w:bCs/>
                <w:color w:val="000000"/>
                <w:kern w:val="0"/>
                <w:lang w:eastAsia="cs-CZ"/>
                <w14:ligatures w14:val="none"/>
              </w:rPr>
              <w:t>Počet připojených tel. linek (cca)</w:t>
            </w:r>
          </w:p>
        </w:tc>
      </w:tr>
      <w:tr w:rsidR="005E6A82" w:rsidRPr="005E6A82" w14:paraId="25F2F003" w14:textId="77777777" w:rsidTr="005E6A82">
        <w:trPr>
          <w:trHeight w:val="300"/>
        </w:trPr>
        <w:tc>
          <w:tcPr>
            <w:tcW w:w="5860" w:type="dxa"/>
            <w:tcBorders>
              <w:top w:val="nil"/>
              <w:left w:val="single" w:sz="8" w:space="0" w:color="auto"/>
              <w:bottom w:val="single" w:sz="4" w:space="0" w:color="auto"/>
              <w:right w:val="single" w:sz="4" w:space="0" w:color="auto"/>
            </w:tcBorders>
            <w:shd w:val="clear" w:color="000000" w:fill="FFE699"/>
            <w:noWrap/>
            <w:vAlign w:val="bottom"/>
            <w:hideMark/>
          </w:tcPr>
          <w:p w14:paraId="32A225C8" w14:textId="624A7265"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Karmelitská 529/5, Praha 1 (bud</w:t>
            </w:r>
            <w:r w:rsidR="00BB1EEA">
              <w:rPr>
                <w:rFonts w:ascii="Calibri" w:eastAsia="Times New Roman" w:hAnsi="Calibri" w:cs="Calibri"/>
                <w:color w:val="000000"/>
                <w:kern w:val="0"/>
                <w:lang w:eastAsia="cs-CZ"/>
                <w14:ligatures w14:val="none"/>
              </w:rPr>
              <w:t>o</w:t>
            </w:r>
            <w:r w:rsidRPr="005E6A82">
              <w:rPr>
                <w:rFonts w:ascii="Calibri" w:eastAsia="Times New Roman" w:hAnsi="Calibri" w:cs="Calibri"/>
                <w:color w:val="000000"/>
                <w:kern w:val="0"/>
                <w:lang w:eastAsia="cs-CZ"/>
                <w14:ligatures w14:val="none"/>
              </w:rPr>
              <w:t>vy B-F)</w:t>
            </w:r>
          </w:p>
        </w:tc>
        <w:tc>
          <w:tcPr>
            <w:tcW w:w="246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119041A0"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Panasonic KX-TDE600CE</w:t>
            </w:r>
          </w:p>
        </w:tc>
        <w:tc>
          <w:tcPr>
            <w:tcW w:w="298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6632540A"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1</w:t>
            </w:r>
          </w:p>
        </w:tc>
        <w:tc>
          <w:tcPr>
            <w:tcW w:w="3840" w:type="dxa"/>
            <w:vMerge w:val="restart"/>
            <w:tcBorders>
              <w:top w:val="nil"/>
              <w:left w:val="single" w:sz="4" w:space="0" w:color="auto"/>
              <w:bottom w:val="single" w:sz="4" w:space="0" w:color="000000"/>
              <w:right w:val="single" w:sz="8" w:space="0" w:color="auto"/>
            </w:tcBorders>
            <w:shd w:val="clear" w:color="000000" w:fill="DDEBF7"/>
            <w:noWrap/>
            <w:vAlign w:val="center"/>
            <w:hideMark/>
          </w:tcPr>
          <w:p w14:paraId="33CEF753"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690</w:t>
            </w:r>
          </w:p>
        </w:tc>
      </w:tr>
      <w:tr w:rsidR="005E6A82" w:rsidRPr="005E6A82" w14:paraId="1813583E" w14:textId="77777777" w:rsidTr="005E6A82">
        <w:trPr>
          <w:trHeight w:val="300"/>
        </w:trPr>
        <w:tc>
          <w:tcPr>
            <w:tcW w:w="5860" w:type="dxa"/>
            <w:tcBorders>
              <w:top w:val="nil"/>
              <w:left w:val="single" w:sz="8" w:space="0" w:color="auto"/>
              <w:bottom w:val="single" w:sz="4" w:space="0" w:color="auto"/>
              <w:right w:val="single" w:sz="4" w:space="0" w:color="auto"/>
            </w:tcBorders>
            <w:shd w:val="clear" w:color="000000" w:fill="FFE699"/>
            <w:noWrap/>
            <w:vAlign w:val="bottom"/>
            <w:hideMark/>
          </w:tcPr>
          <w:p w14:paraId="73EE7A27"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Karmelitská 386/8, Praha 1 (budova A)</w:t>
            </w:r>
          </w:p>
        </w:tc>
        <w:tc>
          <w:tcPr>
            <w:tcW w:w="2460" w:type="dxa"/>
            <w:vMerge/>
            <w:tcBorders>
              <w:top w:val="nil"/>
              <w:left w:val="single" w:sz="4" w:space="0" w:color="auto"/>
              <w:bottom w:val="single" w:sz="4" w:space="0" w:color="000000"/>
              <w:right w:val="single" w:sz="4" w:space="0" w:color="auto"/>
            </w:tcBorders>
            <w:vAlign w:val="center"/>
            <w:hideMark/>
          </w:tcPr>
          <w:p w14:paraId="1ED12CEC"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p>
        </w:tc>
        <w:tc>
          <w:tcPr>
            <w:tcW w:w="2980" w:type="dxa"/>
            <w:vMerge/>
            <w:tcBorders>
              <w:top w:val="nil"/>
              <w:left w:val="single" w:sz="4" w:space="0" w:color="auto"/>
              <w:bottom w:val="single" w:sz="4" w:space="0" w:color="000000"/>
              <w:right w:val="single" w:sz="4" w:space="0" w:color="auto"/>
            </w:tcBorders>
            <w:vAlign w:val="center"/>
            <w:hideMark/>
          </w:tcPr>
          <w:p w14:paraId="59B50BDC"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p>
        </w:tc>
        <w:tc>
          <w:tcPr>
            <w:tcW w:w="3840" w:type="dxa"/>
            <w:vMerge/>
            <w:tcBorders>
              <w:top w:val="nil"/>
              <w:left w:val="single" w:sz="4" w:space="0" w:color="auto"/>
              <w:bottom w:val="single" w:sz="4" w:space="0" w:color="000000"/>
              <w:right w:val="single" w:sz="8" w:space="0" w:color="auto"/>
            </w:tcBorders>
            <w:vAlign w:val="center"/>
            <w:hideMark/>
          </w:tcPr>
          <w:p w14:paraId="1194E49F"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p>
        </w:tc>
      </w:tr>
      <w:tr w:rsidR="005E6A82" w:rsidRPr="005E6A82" w14:paraId="0EC3C44C" w14:textId="77777777" w:rsidTr="005E6A82">
        <w:trPr>
          <w:trHeight w:val="300"/>
        </w:trPr>
        <w:tc>
          <w:tcPr>
            <w:tcW w:w="5860" w:type="dxa"/>
            <w:tcBorders>
              <w:top w:val="nil"/>
              <w:left w:val="single" w:sz="8" w:space="0" w:color="auto"/>
              <w:bottom w:val="single" w:sz="4" w:space="0" w:color="auto"/>
              <w:right w:val="single" w:sz="4" w:space="0" w:color="auto"/>
            </w:tcBorders>
            <w:shd w:val="clear" w:color="000000" w:fill="FFE699"/>
            <w:noWrap/>
            <w:vAlign w:val="bottom"/>
            <w:hideMark/>
          </w:tcPr>
          <w:p w14:paraId="392D0A01"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Karmelitská 378/17, Praha 1</w:t>
            </w:r>
          </w:p>
        </w:tc>
        <w:tc>
          <w:tcPr>
            <w:tcW w:w="2460" w:type="dxa"/>
            <w:tcBorders>
              <w:top w:val="nil"/>
              <w:left w:val="nil"/>
              <w:bottom w:val="single" w:sz="4" w:space="0" w:color="auto"/>
              <w:right w:val="single" w:sz="4" w:space="0" w:color="auto"/>
            </w:tcBorders>
            <w:shd w:val="clear" w:color="000000" w:fill="DDEBF7"/>
            <w:noWrap/>
            <w:vAlign w:val="bottom"/>
            <w:hideMark/>
          </w:tcPr>
          <w:p w14:paraId="0FE5AD25"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Panasonic KX-TDE100CE</w:t>
            </w:r>
          </w:p>
        </w:tc>
        <w:tc>
          <w:tcPr>
            <w:tcW w:w="2980" w:type="dxa"/>
            <w:tcBorders>
              <w:top w:val="nil"/>
              <w:left w:val="nil"/>
              <w:bottom w:val="single" w:sz="4" w:space="0" w:color="auto"/>
              <w:right w:val="single" w:sz="4" w:space="0" w:color="auto"/>
            </w:tcBorders>
            <w:shd w:val="clear" w:color="000000" w:fill="DDEBF7"/>
            <w:noWrap/>
            <w:vAlign w:val="bottom"/>
            <w:hideMark/>
          </w:tcPr>
          <w:p w14:paraId="793023AD"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1</w:t>
            </w:r>
          </w:p>
        </w:tc>
        <w:tc>
          <w:tcPr>
            <w:tcW w:w="3840" w:type="dxa"/>
            <w:tcBorders>
              <w:top w:val="nil"/>
              <w:left w:val="nil"/>
              <w:bottom w:val="single" w:sz="4" w:space="0" w:color="auto"/>
              <w:right w:val="single" w:sz="8" w:space="0" w:color="auto"/>
            </w:tcBorders>
            <w:shd w:val="clear" w:color="000000" w:fill="DDEBF7"/>
            <w:noWrap/>
            <w:vAlign w:val="bottom"/>
            <w:hideMark/>
          </w:tcPr>
          <w:p w14:paraId="46D5AFBD"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56</w:t>
            </w:r>
          </w:p>
        </w:tc>
      </w:tr>
      <w:tr w:rsidR="005E6A82" w:rsidRPr="005E6A82" w14:paraId="0BC6F885" w14:textId="77777777" w:rsidTr="005E6A82">
        <w:trPr>
          <w:trHeight w:val="300"/>
        </w:trPr>
        <w:tc>
          <w:tcPr>
            <w:tcW w:w="5860" w:type="dxa"/>
            <w:tcBorders>
              <w:top w:val="nil"/>
              <w:left w:val="single" w:sz="8" w:space="0" w:color="auto"/>
              <w:bottom w:val="single" w:sz="4" w:space="0" w:color="auto"/>
              <w:right w:val="single" w:sz="4" w:space="0" w:color="auto"/>
            </w:tcBorders>
            <w:shd w:val="clear" w:color="000000" w:fill="FFE699"/>
            <w:noWrap/>
            <w:vAlign w:val="bottom"/>
            <w:hideMark/>
          </w:tcPr>
          <w:p w14:paraId="074E5AE6"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U Lužického semináře 90/13, Praha 1</w:t>
            </w:r>
          </w:p>
        </w:tc>
        <w:tc>
          <w:tcPr>
            <w:tcW w:w="2460" w:type="dxa"/>
            <w:tcBorders>
              <w:top w:val="nil"/>
              <w:left w:val="nil"/>
              <w:bottom w:val="single" w:sz="4" w:space="0" w:color="auto"/>
              <w:right w:val="single" w:sz="4" w:space="0" w:color="auto"/>
            </w:tcBorders>
            <w:shd w:val="clear" w:color="000000" w:fill="DDEBF7"/>
            <w:noWrap/>
            <w:vAlign w:val="bottom"/>
            <w:hideMark/>
          </w:tcPr>
          <w:p w14:paraId="6401E160"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Panasonic KX-TDE100CE</w:t>
            </w:r>
          </w:p>
        </w:tc>
        <w:tc>
          <w:tcPr>
            <w:tcW w:w="2980" w:type="dxa"/>
            <w:tcBorders>
              <w:top w:val="nil"/>
              <w:left w:val="nil"/>
              <w:bottom w:val="single" w:sz="4" w:space="0" w:color="auto"/>
              <w:right w:val="single" w:sz="4" w:space="0" w:color="auto"/>
            </w:tcBorders>
            <w:shd w:val="clear" w:color="000000" w:fill="DDEBF7"/>
            <w:noWrap/>
            <w:vAlign w:val="bottom"/>
            <w:hideMark/>
          </w:tcPr>
          <w:p w14:paraId="37300614"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1</w:t>
            </w:r>
          </w:p>
        </w:tc>
        <w:tc>
          <w:tcPr>
            <w:tcW w:w="3840" w:type="dxa"/>
            <w:tcBorders>
              <w:top w:val="nil"/>
              <w:left w:val="nil"/>
              <w:bottom w:val="single" w:sz="4" w:space="0" w:color="auto"/>
              <w:right w:val="single" w:sz="8" w:space="0" w:color="auto"/>
            </w:tcBorders>
            <w:shd w:val="clear" w:color="000000" w:fill="DDEBF7"/>
            <w:noWrap/>
            <w:vAlign w:val="bottom"/>
            <w:hideMark/>
          </w:tcPr>
          <w:p w14:paraId="4865FDD0"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50</w:t>
            </w:r>
          </w:p>
        </w:tc>
      </w:tr>
      <w:tr w:rsidR="005E6A82" w:rsidRPr="005E6A82" w14:paraId="3A8C769A" w14:textId="77777777" w:rsidTr="005E6A82">
        <w:trPr>
          <w:trHeight w:val="300"/>
        </w:trPr>
        <w:tc>
          <w:tcPr>
            <w:tcW w:w="5860" w:type="dxa"/>
            <w:tcBorders>
              <w:top w:val="nil"/>
              <w:left w:val="single" w:sz="8" w:space="0" w:color="auto"/>
              <w:bottom w:val="single" w:sz="4" w:space="0" w:color="auto"/>
              <w:right w:val="single" w:sz="4" w:space="0" w:color="auto"/>
            </w:tcBorders>
            <w:shd w:val="clear" w:color="000000" w:fill="FFE699"/>
            <w:noWrap/>
            <w:vAlign w:val="bottom"/>
            <w:hideMark/>
          </w:tcPr>
          <w:p w14:paraId="6B38C5A1"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Senovážné náměstí 977/24, Praha 1</w:t>
            </w:r>
          </w:p>
        </w:tc>
        <w:tc>
          <w:tcPr>
            <w:tcW w:w="2460" w:type="dxa"/>
            <w:tcBorders>
              <w:top w:val="nil"/>
              <w:left w:val="nil"/>
              <w:bottom w:val="single" w:sz="4" w:space="0" w:color="auto"/>
              <w:right w:val="single" w:sz="4" w:space="0" w:color="auto"/>
            </w:tcBorders>
            <w:shd w:val="clear" w:color="000000" w:fill="DDEBF7"/>
            <w:noWrap/>
            <w:vAlign w:val="bottom"/>
            <w:hideMark/>
          </w:tcPr>
          <w:p w14:paraId="7C029DFB"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Siemens HiPath-3750</w:t>
            </w:r>
          </w:p>
        </w:tc>
        <w:tc>
          <w:tcPr>
            <w:tcW w:w="2980" w:type="dxa"/>
            <w:tcBorders>
              <w:top w:val="nil"/>
              <w:left w:val="nil"/>
              <w:bottom w:val="single" w:sz="4" w:space="0" w:color="auto"/>
              <w:right w:val="single" w:sz="4" w:space="0" w:color="auto"/>
            </w:tcBorders>
            <w:shd w:val="clear" w:color="000000" w:fill="DDEBF7"/>
            <w:noWrap/>
            <w:vAlign w:val="bottom"/>
            <w:hideMark/>
          </w:tcPr>
          <w:p w14:paraId="0B73A6FD"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1</w:t>
            </w:r>
          </w:p>
        </w:tc>
        <w:tc>
          <w:tcPr>
            <w:tcW w:w="3840" w:type="dxa"/>
            <w:tcBorders>
              <w:top w:val="nil"/>
              <w:left w:val="nil"/>
              <w:bottom w:val="single" w:sz="4" w:space="0" w:color="auto"/>
              <w:right w:val="single" w:sz="8" w:space="0" w:color="auto"/>
            </w:tcBorders>
            <w:shd w:val="clear" w:color="000000" w:fill="DDEBF7"/>
            <w:noWrap/>
            <w:vAlign w:val="bottom"/>
            <w:hideMark/>
          </w:tcPr>
          <w:p w14:paraId="6ED9F4AD"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100</w:t>
            </w:r>
          </w:p>
        </w:tc>
      </w:tr>
      <w:tr w:rsidR="005E6A82" w:rsidRPr="005E6A82" w14:paraId="681C16AC" w14:textId="77777777" w:rsidTr="005E6A82">
        <w:trPr>
          <w:trHeight w:val="300"/>
        </w:trPr>
        <w:tc>
          <w:tcPr>
            <w:tcW w:w="5860" w:type="dxa"/>
            <w:tcBorders>
              <w:top w:val="nil"/>
              <w:left w:val="single" w:sz="8" w:space="0" w:color="auto"/>
              <w:bottom w:val="single" w:sz="4" w:space="0" w:color="auto"/>
              <w:right w:val="single" w:sz="4" w:space="0" w:color="auto"/>
            </w:tcBorders>
            <w:shd w:val="clear" w:color="000000" w:fill="FFE699"/>
            <w:noWrap/>
            <w:vAlign w:val="bottom"/>
            <w:hideMark/>
          </w:tcPr>
          <w:p w14:paraId="39AEBF32"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Senovážné náměstí 871/26, Praha 1</w:t>
            </w:r>
          </w:p>
        </w:tc>
        <w:tc>
          <w:tcPr>
            <w:tcW w:w="2460" w:type="dxa"/>
            <w:tcBorders>
              <w:top w:val="nil"/>
              <w:left w:val="nil"/>
              <w:bottom w:val="single" w:sz="4" w:space="0" w:color="auto"/>
              <w:right w:val="single" w:sz="4" w:space="0" w:color="auto"/>
            </w:tcBorders>
            <w:shd w:val="clear" w:color="000000" w:fill="DDEBF7"/>
            <w:noWrap/>
            <w:vAlign w:val="bottom"/>
            <w:hideMark/>
          </w:tcPr>
          <w:p w14:paraId="7FE9C56A"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proofErr w:type="spellStart"/>
            <w:r w:rsidRPr="005E6A82">
              <w:rPr>
                <w:rFonts w:ascii="Calibri" w:eastAsia="Times New Roman" w:hAnsi="Calibri" w:cs="Calibri"/>
                <w:color w:val="000000"/>
                <w:kern w:val="0"/>
                <w:lang w:eastAsia="cs-CZ"/>
                <w14:ligatures w14:val="none"/>
              </w:rPr>
              <w:t>Aastra</w:t>
            </w:r>
            <w:proofErr w:type="spellEnd"/>
            <w:r w:rsidRPr="005E6A82">
              <w:rPr>
                <w:rFonts w:ascii="Calibri" w:eastAsia="Times New Roman" w:hAnsi="Calibri" w:cs="Calibri"/>
                <w:color w:val="000000"/>
                <w:kern w:val="0"/>
                <w:lang w:eastAsia="cs-CZ"/>
                <w14:ligatures w14:val="none"/>
              </w:rPr>
              <w:t xml:space="preserve"> 5000</w:t>
            </w:r>
          </w:p>
        </w:tc>
        <w:tc>
          <w:tcPr>
            <w:tcW w:w="2980" w:type="dxa"/>
            <w:tcBorders>
              <w:top w:val="nil"/>
              <w:left w:val="nil"/>
              <w:bottom w:val="single" w:sz="4" w:space="0" w:color="auto"/>
              <w:right w:val="single" w:sz="4" w:space="0" w:color="auto"/>
            </w:tcBorders>
            <w:shd w:val="clear" w:color="000000" w:fill="DDEBF7"/>
            <w:noWrap/>
            <w:vAlign w:val="bottom"/>
            <w:hideMark/>
          </w:tcPr>
          <w:p w14:paraId="4647750F"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1</w:t>
            </w:r>
          </w:p>
        </w:tc>
        <w:tc>
          <w:tcPr>
            <w:tcW w:w="3840" w:type="dxa"/>
            <w:tcBorders>
              <w:top w:val="nil"/>
              <w:left w:val="nil"/>
              <w:bottom w:val="single" w:sz="4" w:space="0" w:color="auto"/>
              <w:right w:val="single" w:sz="8" w:space="0" w:color="auto"/>
            </w:tcBorders>
            <w:shd w:val="clear" w:color="000000" w:fill="DDEBF7"/>
            <w:noWrap/>
            <w:vAlign w:val="bottom"/>
            <w:hideMark/>
          </w:tcPr>
          <w:p w14:paraId="3E629C89"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60</w:t>
            </w:r>
          </w:p>
        </w:tc>
      </w:tr>
      <w:tr w:rsidR="005E6A82" w:rsidRPr="005E6A82" w14:paraId="6DB0BE1A" w14:textId="77777777" w:rsidTr="005E6A82">
        <w:trPr>
          <w:trHeight w:val="300"/>
        </w:trPr>
        <w:tc>
          <w:tcPr>
            <w:tcW w:w="5860" w:type="dxa"/>
            <w:tcBorders>
              <w:top w:val="nil"/>
              <w:left w:val="single" w:sz="8" w:space="0" w:color="auto"/>
              <w:bottom w:val="single" w:sz="4" w:space="0" w:color="auto"/>
              <w:right w:val="single" w:sz="4" w:space="0" w:color="auto"/>
            </w:tcBorders>
            <w:shd w:val="clear" w:color="000000" w:fill="FFE699"/>
            <w:noWrap/>
            <w:vAlign w:val="bottom"/>
            <w:hideMark/>
          </w:tcPr>
          <w:p w14:paraId="189EBBB3"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Jankovcova 933/63, Praha 7</w:t>
            </w:r>
          </w:p>
        </w:tc>
        <w:tc>
          <w:tcPr>
            <w:tcW w:w="2460" w:type="dxa"/>
            <w:tcBorders>
              <w:top w:val="nil"/>
              <w:left w:val="nil"/>
              <w:bottom w:val="single" w:sz="4" w:space="0" w:color="auto"/>
              <w:right w:val="single" w:sz="4" w:space="0" w:color="auto"/>
            </w:tcBorders>
            <w:shd w:val="clear" w:color="000000" w:fill="DDEBF7"/>
            <w:noWrap/>
            <w:vAlign w:val="bottom"/>
            <w:hideMark/>
          </w:tcPr>
          <w:p w14:paraId="1C937522"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Panasonic KX-TDE600NE</w:t>
            </w:r>
          </w:p>
        </w:tc>
        <w:tc>
          <w:tcPr>
            <w:tcW w:w="2980" w:type="dxa"/>
            <w:tcBorders>
              <w:top w:val="nil"/>
              <w:left w:val="nil"/>
              <w:bottom w:val="single" w:sz="4" w:space="0" w:color="auto"/>
              <w:right w:val="single" w:sz="4" w:space="0" w:color="auto"/>
            </w:tcBorders>
            <w:shd w:val="clear" w:color="000000" w:fill="DDEBF7"/>
            <w:noWrap/>
            <w:vAlign w:val="bottom"/>
            <w:hideMark/>
          </w:tcPr>
          <w:p w14:paraId="6001482E"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1</w:t>
            </w:r>
          </w:p>
        </w:tc>
        <w:tc>
          <w:tcPr>
            <w:tcW w:w="3840" w:type="dxa"/>
            <w:tcBorders>
              <w:top w:val="nil"/>
              <w:left w:val="nil"/>
              <w:bottom w:val="single" w:sz="4" w:space="0" w:color="auto"/>
              <w:right w:val="single" w:sz="8" w:space="0" w:color="auto"/>
            </w:tcBorders>
            <w:shd w:val="clear" w:color="000000" w:fill="DDEBF7"/>
            <w:noWrap/>
            <w:vAlign w:val="bottom"/>
            <w:hideMark/>
          </w:tcPr>
          <w:p w14:paraId="2C3AFAB5"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48</w:t>
            </w:r>
          </w:p>
        </w:tc>
      </w:tr>
      <w:tr w:rsidR="005E6A82" w:rsidRPr="005E6A82" w14:paraId="578DA5F8" w14:textId="77777777" w:rsidTr="005E6A82">
        <w:trPr>
          <w:trHeight w:val="315"/>
        </w:trPr>
        <w:tc>
          <w:tcPr>
            <w:tcW w:w="5860" w:type="dxa"/>
            <w:tcBorders>
              <w:top w:val="nil"/>
              <w:left w:val="single" w:sz="8" w:space="0" w:color="auto"/>
              <w:bottom w:val="single" w:sz="8" w:space="0" w:color="auto"/>
              <w:right w:val="single" w:sz="4" w:space="0" w:color="auto"/>
            </w:tcBorders>
            <w:shd w:val="clear" w:color="000000" w:fill="FFE699"/>
            <w:noWrap/>
            <w:vAlign w:val="bottom"/>
            <w:hideMark/>
          </w:tcPr>
          <w:p w14:paraId="3079EF2C"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Českomoravská 2420/15, Harfa Office Park, Praha 9</w:t>
            </w:r>
          </w:p>
        </w:tc>
        <w:tc>
          <w:tcPr>
            <w:tcW w:w="2460" w:type="dxa"/>
            <w:tcBorders>
              <w:top w:val="nil"/>
              <w:left w:val="nil"/>
              <w:bottom w:val="single" w:sz="8" w:space="0" w:color="auto"/>
              <w:right w:val="single" w:sz="4" w:space="0" w:color="auto"/>
            </w:tcBorders>
            <w:shd w:val="clear" w:color="000000" w:fill="DDEBF7"/>
            <w:noWrap/>
            <w:vAlign w:val="bottom"/>
            <w:hideMark/>
          </w:tcPr>
          <w:p w14:paraId="50D92B0C" w14:textId="77777777" w:rsidR="005E6A82" w:rsidRPr="005E6A82" w:rsidRDefault="005E6A82" w:rsidP="005E6A82">
            <w:pPr>
              <w:spacing w:after="0" w:line="240" w:lineRule="auto"/>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Panasonic KX-TDE600NE</w:t>
            </w:r>
          </w:p>
        </w:tc>
        <w:tc>
          <w:tcPr>
            <w:tcW w:w="2980" w:type="dxa"/>
            <w:tcBorders>
              <w:top w:val="nil"/>
              <w:left w:val="nil"/>
              <w:bottom w:val="single" w:sz="8" w:space="0" w:color="auto"/>
              <w:right w:val="single" w:sz="4" w:space="0" w:color="auto"/>
            </w:tcBorders>
            <w:shd w:val="clear" w:color="000000" w:fill="DDEBF7"/>
            <w:noWrap/>
            <w:vAlign w:val="bottom"/>
            <w:hideMark/>
          </w:tcPr>
          <w:p w14:paraId="365550D0"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1</w:t>
            </w:r>
          </w:p>
        </w:tc>
        <w:tc>
          <w:tcPr>
            <w:tcW w:w="3840" w:type="dxa"/>
            <w:tcBorders>
              <w:top w:val="nil"/>
              <w:left w:val="nil"/>
              <w:bottom w:val="single" w:sz="8" w:space="0" w:color="auto"/>
              <w:right w:val="single" w:sz="8" w:space="0" w:color="auto"/>
            </w:tcBorders>
            <w:shd w:val="clear" w:color="000000" w:fill="DDEBF7"/>
            <w:noWrap/>
            <w:vAlign w:val="bottom"/>
            <w:hideMark/>
          </w:tcPr>
          <w:p w14:paraId="020A1328" w14:textId="77777777" w:rsidR="005E6A82" w:rsidRPr="005E6A82" w:rsidRDefault="005E6A82" w:rsidP="005E6A82">
            <w:pPr>
              <w:spacing w:after="0" w:line="240" w:lineRule="auto"/>
              <w:jc w:val="center"/>
              <w:rPr>
                <w:rFonts w:ascii="Calibri" w:eastAsia="Times New Roman" w:hAnsi="Calibri" w:cs="Calibri"/>
                <w:color w:val="000000"/>
                <w:kern w:val="0"/>
                <w:lang w:eastAsia="cs-CZ"/>
                <w14:ligatures w14:val="none"/>
              </w:rPr>
            </w:pPr>
            <w:r w:rsidRPr="005E6A82">
              <w:rPr>
                <w:rFonts w:ascii="Calibri" w:eastAsia="Times New Roman" w:hAnsi="Calibri" w:cs="Calibri"/>
                <w:color w:val="000000"/>
                <w:kern w:val="0"/>
                <w:lang w:eastAsia="cs-CZ"/>
                <w14:ligatures w14:val="none"/>
              </w:rPr>
              <w:t>varianta A 370 linek; varianta B 13 linek</w:t>
            </w:r>
          </w:p>
        </w:tc>
      </w:tr>
    </w:tbl>
    <w:p w14:paraId="0AEA7D96" w14:textId="77777777" w:rsidR="00F94A04" w:rsidRPr="00F94A04" w:rsidRDefault="00F94A04" w:rsidP="00F94A04"/>
    <w:sectPr w:rsidR="00F94A04" w:rsidRPr="00F94A04" w:rsidSect="005E6A8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11CD" w14:textId="77777777" w:rsidR="00605E3C" w:rsidRDefault="00605E3C" w:rsidP="0020522E">
      <w:pPr>
        <w:spacing w:after="0" w:line="240" w:lineRule="auto"/>
      </w:pPr>
      <w:r>
        <w:separator/>
      </w:r>
    </w:p>
  </w:endnote>
  <w:endnote w:type="continuationSeparator" w:id="0">
    <w:p w14:paraId="747BF2E1" w14:textId="77777777" w:rsidR="00605E3C" w:rsidRDefault="00605E3C" w:rsidP="0020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351063"/>
      <w:docPartObj>
        <w:docPartGallery w:val="Page Numbers (Bottom of Page)"/>
        <w:docPartUnique/>
      </w:docPartObj>
    </w:sdtPr>
    <w:sdtEndPr/>
    <w:sdtContent>
      <w:p w14:paraId="727177B2" w14:textId="77777777" w:rsidR="0020522E" w:rsidRDefault="00A73312" w:rsidP="001310C5">
        <w:pPr>
          <w:pStyle w:val="Zpat"/>
          <w:jc w:val="center"/>
        </w:pPr>
        <w:sdt>
          <w:sdtPr>
            <w:id w:val="443816433"/>
            <w:docPartObj>
              <w:docPartGallery w:val="Page Numbers (Top of Page)"/>
              <w:docPartUnique/>
            </w:docPartObj>
          </w:sdtPr>
          <w:sdtEndPr/>
          <w:sdtContent>
            <w:proofErr w:type="spellStart"/>
            <w:r w:rsidR="0020522E">
              <w:t>Stránka</w:t>
            </w:r>
            <w:proofErr w:type="spellEnd"/>
            <w:r w:rsidR="0020522E">
              <w:t xml:space="preserve"> </w:t>
            </w:r>
            <w:r w:rsidR="0020522E">
              <w:rPr>
                <w:b/>
                <w:bCs/>
              </w:rPr>
              <w:fldChar w:fldCharType="begin"/>
            </w:r>
            <w:r w:rsidR="0020522E">
              <w:rPr>
                <w:b/>
                <w:bCs/>
              </w:rPr>
              <w:instrText>PAGE</w:instrText>
            </w:r>
            <w:r w:rsidR="0020522E">
              <w:rPr>
                <w:b/>
                <w:bCs/>
              </w:rPr>
              <w:fldChar w:fldCharType="separate"/>
            </w:r>
            <w:r w:rsidR="0020522E">
              <w:rPr>
                <w:b/>
                <w:bCs/>
                <w:noProof/>
              </w:rPr>
              <w:t>10</w:t>
            </w:r>
            <w:r w:rsidR="0020522E">
              <w:rPr>
                <w:b/>
                <w:bCs/>
              </w:rPr>
              <w:fldChar w:fldCharType="end"/>
            </w:r>
            <w:r w:rsidR="0020522E">
              <w:t xml:space="preserve"> z </w:t>
            </w:r>
            <w:r w:rsidR="0020522E">
              <w:rPr>
                <w:b/>
                <w:bCs/>
              </w:rPr>
              <w:fldChar w:fldCharType="begin"/>
            </w:r>
            <w:r w:rsidR="0020522E">
              <w:rPr>
                <w:b/>
                <w:bCs/>
              </w:rPr>
              <w:instrText>NUMPAGES</w:instrText>
            </w:r>
            <w:r w:rsidR="0020522E">
              <w:rPr>
                <w:b/>
                <w:bCs/>
              </w:rPr>
              <w:fldChar w:fldCharType="separate"/>
            </w:r>
            <w:r w:rsidR="0020522E">
              <w:rPr>
                <w:b/>
                <w:bCs/>
                <w:noProof/>
              </w:rPr>
              <w:t>10</w:t>
            </w:r>
            <w:r w:rsidR="0020522E">
              <w:rPr>
                <w:b/>
                <w:bCs/>
              </w:rPr>
              <w:fldChar w:fldCharType="end"/>
            </w:r>
          </w:sdtContent>
        </w:sdt>
      </w:p>
      <w:p w14:paraId="0609EC84" w14:textId="77777777" w:rsidR="0020522E" w:rsidRDefault="00A73312">
        <w:pPr>
          <w:pStyle w:val="Zpat"/>
          <w:jc w:val="center"/>
        </w:pPr>
      </w:p>
    </w:sdtContent>
  </w:sdt>
  <w:p w14:paraId="45C33961" w14:textId="77777777" w:rsidR="0020522E" w:rsidRDefault="0020522E" w:rsidP="0018733A">
    <w:pPr>
      <w:pStyle w:val="Zpat"/>
      <w:tabs>
        <w:tab w:val="clear" w:pos="4536"/>
        <w:tab w:val="clear" w:pos="9072"/>
        <w:tab w:val="left" w:pos="160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ECC7" w14:textId="77777777" w:rsidR="00605E3C" w:rsidRDefault="00605E3C" w:rsidP="0020522E">
      <w:pPr>
        <w:spacing w:after="0" w:line="240" w:lineRule="auto"/>
      </w:pPr>
      <w:r>
        <w:separator/>
      </w:r>
    </w:p>
  </w:footnote>
  <w:footnote w:type="continuationSeparator" w:id="0">
    <w:p w14:paraId="40186434" w14:textId="77777777" w:rsidR="00605E3C" w:rsidRDefault="00605E3C" w:rsidP="0020522E">
      <w:pPr>
        <w:spacing w:after="0" w:line="240" w:lineRule="auto"/>
      </w:pPr>
      <w:r>
        <w:continuationSeparator/>
      </w:r>
    </w:p>
  </w:footnote>
  <w:footnote w:id="1">
    <w:p w14:paraId="63A2C388" w14:textId="6D100FF1" w:rsidR="00F23336" w:rsidRPr="00545F98" w:rsidRDefault="00F23336">
      <w:pPr>
        <w:pStyle w:val="Textpoznpodarou"/>
        <w:rPr>
          <w:rFonts w:ascii="Times New Roman" w:hAnsi="Times New Roman" w:cs="Times New Roman"/>
        </w:rPr>
      </w:pPr>
      <w:r w:rsidRPr="00545F98">
        <w:rPr>
          <w:rStyle w:val="Znakapoznpodarou"/>
          <w:rFonts w:ascii="Times New Roman" w:hAnsi="Times New Roman" w:cs="Times New Roman"/>
        </w:rPr>
        <w:footnoteRef/>
      </w:r>
      <w:r w:rsidRPr="00545F98">
        <w:rPr>
          <w:rFonts w:ascii="Times New Roman" w:hAnsi="Times New Roman" w:cs="Times New Roman"/>
        </w:rPr>
        <w:t xml:space="preserve"> Kontaktní osoby z O 42 jsou určeny pro objekt Harfa (dle </w:t>
      </w:r>
      <w:r w:rsidR="0034610B" w:rsidRPr="00545F98">
        <w:rPr>
          <w:rFonts w:ascii="Times New Roman" w:hAnsi="Times New Roman" w:cs="Times New Roman"/>
        </w:rPr>
        <w:t>odst. 5.2 písm. h)</w:t>
      </w:r>
      <w:r w:rsidRPr="00545F98">
        <w:rPr>
          <w:rFonts w:ascii="Times New Roman" w:hAnsi="Times New Roman" w:cs="Times New Roman"/>
        </w:rPr>
        <w:t xml:space="preserve"> této Smlouvy), zatímco kontaktní osoby z O 51  jsou určeny pro všechny ostatní objekty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6AF4" w14:textId="57E92586" w:rsidR="0020522E" w:rsidRDefault="0020522E" w:rsidP="003E73A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491"/>
    <w:multiLevelType w:val="multilevel"/>
    <w:tmpl w:val="D1A2CCB4"/>
    <w:lvl w:ilvl="0">
      <w:start w:val="1"/>
      <w:numFmt w:val="decimal"/>
      <w:pStyle w:val="Nadpis1"/>
      <w:lvlText w:val="%1."/>
      <w:lvlJc w:val="left"/>
      <w:pPr>
        <w:ind w:left="3763" w:hanging="360"/>
      </w:pPr>
      <w:rPr>
        <w:rFonts w:hint="default"/>
      </w:rPr>
    </w:lvl>
    <w:lvl w:ilvl="1">
      <w:start w:val="1"/>
      <w:numFmt w:val="decimal"/>
      <w:pStyle w:val="Odstavec"/>
      <w:lvlText w:val="%1.%2."/>
      <w:lvlJc w:val="left"/>
      <w:pPr>
        <w:ind w:left="284" w:hanging="284"/>
      </w:pPr>
      <w:rPr>
        <w:rFonts w:hint="default"/>
      </w:rPr>
    </w:lvl>
    <w:lvl w:ilvl="2">
      <w:start w:val="1"/>
      <w:numFmt w:val="lowerLetter"/>
      <w:pStyle w:val="odstavec2"/>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B3E3BA4"/>
    <w:multiLevelType w:val="hybridMultilevel"/>
    <w:tmpl w:val="A3B2530E"/>
    <w:name w:val="WW8StyleNum10"/>
    <w:lvl w:ilvl="0" w:tplc="BDA6367A">
      <w:start w:val="2"/>
      <w:numFmt w:val="bullet"/>
      <w:pStyle w:val="Normlnodr"/>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FD26A3"/>
    <w:multiLevelType w:val="hybridMultilevel"/>
    <w:tmpl w:val="17162900"/>
    <w:lvl w:ilvl="0" w:tplc="6382032C">
      <w:start w:val="1"/>
      <w:numFmt w:val="decimal"/>
      <w:lvlText w:val="%1."/>
      <w:lvlJc w:val="left"/>
      <w:pPr>
        <w:ind w:left="720" w:hanging="360"/>
      </w:pPr>
      <w:rPr>
        <w:rFonts w:ascii="Times New Roman" w:hAnsi="Times New Roman" w:cs="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FC303D"/>
    <w:multiLevelType w:val="hybridMultilevel"/>
    <w:tmpl w:val="B5ECD4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B9C00A8"/>
    <w:multiLevelType w:val="multilevel"/>
    <w:tmpl w:val="C3E82EE2"/>
    <w:lvl w:ilvl="0">
      <w:start w:val="1"/>
      <w:numFmt w:val="decimal"/>
      <w:lvlText w:val="%1."/>
      <w:lvlJc w:val="left"/>
      <w:pPr>
        <w:ind w:left="2484" w:hanging="357"/>
      </w:pPr>
      <w:rPr>
        <w:rFonts w:hint="default"/>
        <w:b/>
        <w:sz w:val="28"/>
        <w:szCs w:val="28"/>
      </w:rPr>
    </w:lvl>
    <w:lvl w:ilvl="1">
      <w:start w:val="1"/>
      <w:numFmt w:val="decimal"/>
      <w:lvlText w:val="%1.%2."/>
      <w:lvlJc w:val="left"/>
      <w:pPr>
        <w:ind w:left="357" w:hanging="357"/>
      </w:pPr>
      <w:rPr>
        <w:rFonts w:ascii="Times New Roman" w:hAnsi="Times New Roman" w:cs="Times New Roman" w:hint="default"/>
        <w:b w:val="0"/>
        <w:i w:val="0"/>
        <w:sz w:val="24"/>
        <w:szCs w:val="24"/>
      </w:rPr>
    </w:lvl>
    <w:lvl w:ilvl="2">
      <w:start w:val="1"/>
      <w:numFmt w:val="lowerLetter"/>
      <w:lvlText w:val="%3)"/>
      <w:lvlJc w:val="left"/>
      <w:pPr>
        <w:ind w:left="357" w:hanging="357"/>
      </w:pPr>
      <w:rPr>
        <w:rFonts w:ascii="Times New Roman" w:eastAsia="Times New Roman" w:hAnsi="Times New Roman" w:cs="Times New Roman"/>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7FC31D55"/>
    <w:multiLevelType w:val="hybridMultilevel"/>
    <w:tmpl w:val="93B64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906321">
    <w:abstractNumId w:val="3"/>
  </w:num>
  <w:num w:numId="2" w16cid:durableId="154804005">
    <w:abstractNumId w:val="0"/>
  </w:num>
  <w:num w:numId="3" w16cid:durableId="1228958772">
    <w:abstractNumId w:val="5"/>
  </w:num>
  <w:num w:numId="4" w16cid:durableId="795174235">
    <w:abstractNumId w:val="2"/>
  </w:num>
  <w:num w:numId="5" w16cid:durableId="894897736">
    <w:abstractNumId w:val="0"/>
  </w:num>
  <w:num w:numId="6" w16cid:durableId="1581678113">
    <w:abstractNumId w:val="4"/>
  </w:num>
  <w:num w:numId="7" w16cid:durableId="121635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1C"/>
    <w:rsid w:val="00050430"/>
    <w:rsid w:val="000642C7"/>
    <w:rsid w:val="000B33DF"/>
    <w:rsid w:val="000E1804"/>
    <w:rsid w:val="000F43C2"/>
    <w:rsid w:val="0010382F"/>
    <w:rsid w:val="00112DF4"/>
    <w:rsid w:val="0011637D"/>
    <w:rsid w:val="00151C7F"/>
    <w:rsid w:val="001616D0"/>
    <w:rsid w:val="00196B83"/>
    <w:rsid w:val="001E3058"/>
    <w:rsid w:val="0020522E"/>
    <w:rsid w:val="002300EA"/>
    <w:rsid w:val="00250F98"/>
    <w:rsid w:val="00296B51"/>
    <w:rsid w:val="002A5299"/>
    <w:rsid w:val="00305AE2"/>
    <w:rsid w:val="00325D3E"/>
    <w:rsid w:val="0034610B"/>
    <w:rsid w:val="00362E2B"/>
    <w:rsid w:val="00430A26"/>
    <w:rsid w:val="004352E5"/>
    <w:rsid w:val="0047363B"/>
    <w:rsid w:val="00476FBD"/>
    <w:rsid w:val="004B1A67"/>
    <w:rsid w:val="004F17D0"/>
    <w:rsid w:val="005057A4"/>
    <w:rsid w:val="00535572"/>
    <w:rsid w:val="00545F98"/>
    <w:rsid w:val="00555B6D"/>
    <w:rsid w:val="005569E9"/>
    <w:rsid w:val="005766E5"/>
    <w:rsid w:val="005E6A82"/>
    <w:rsid w:val="00601AFC"/>
    <w:rsid w:val="00605E3C"/>
    <w:rsid w:val="006B437C"/>
    <w:rsid w:val="006C2717"/>
    <w:rsid w:val="006F100F"/>
    <w:rsid w:val="006F1413"/>
    <w:rsid w:val="007328A8"/>
    <w:rsid w:val="00756AD3"/>
    <w:rsid w:val="00771BFF"/>
    <w:rsid w:val="007801E4"/>
    <w:rsid w:val="007E6077"/>
    <w:rsid w:val="00812C9F"/>
    <w:rsid w:val="00840FD7"/>
    <w:rsid w:val="008446ED"/>
    <w:rsid w:val="008505B7"/>
    <w:rsid w:val="00872A9B"/>
    <w:rsid w:val="00876C39"/>
    <w:rsid w:val="008852A2"/>
    <w:rsid w:val="008B4951"/>
    <w:rsid w:val="008D39A0"/>
    <w:rsid w:val="00901C33"/>
    <w:rsid w:val="00902CD8"/>
    <w:rsid w:val="00980F86"/>
    <w:rsid w:val="009B4C43"/>
    <w:rsid w:val="00A16255"/>
    <w:rsid w:val="00A311BE"/>
    <w:rsid w:val="00A34E7A"/>
    <w:rsid w:val="00A73312"/>
    <w:rsid w:val="00A77650"/>
    <w:rsid w:val="00AB5D56"/>
    <w:rsid w:val="00AD4E81"/>
    <w:rsid w:val="00B16C5E"/>
    <w:rsid w:val="00B85D2D"/>
    <w:rsid w:val="00BB1EEA"/>
    <w:rsid w:val="00BD23F8"/>
    <w:rsid w:val="00BF2844"/>
    <w:rsid w:val="00C30D66"/>
    <w:rsid w:val="00C67501"/>
    <w:rsid w:val="00C84365"/>
    <w:rsid w:val="00D10011"/>
    <w:rsid w:val="00D3361D"/>
    <w:rsid w:val="00D50D16"/>
    <w:rsid w:val="00D52748"/>
    <w:rsid w:val="00D77BBC"/>
    <w:rsid w:val="00DE6890"/>
    <w:rsid w:val="00E4581C"/>
    <w:rsid w:val="00ED64F9"/>
    <w:rsid w:val="00EF131F"/>
    <w:rsid w:val="00F13FE9"/>
    <w:rsid w:val="00F23336"/>
    <w:rsid w:val="00F76344"/>
    <w:rsid w:val="00F94A04"/>
    <w:rsid w:val="00FF19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42C3"/>
  <w15:chartTrackingRefBased/>
  <w15:docId w15:val="{3608C58F-23C8-48FA-897C-5E41A3C0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01C33"/>
    <w:pPr>
      <w:keepNext/>
      <w:keepLines/>
      <w:numPr>
        <w:numId w:val="2"/>
      </w:numPr>
      <w:spacing w:before="240" w:after="120"/>
      <w:ind w:left="357" w:hanging="357"/>
      <w:jc w:val="center"/>
      <w:outlineLvl w:val="0"/>
    </w:pPr>
    <w:rPr>
      <w:rFonts w:ascii="Times New Roman" w:eastAsiaTheme="majorEastAsia" w:hAnsi="Times New Roman" w:cstheme="majorBidi"/>
      <w:b/>
      <w:color w:val="767171" w:themeColor="background2" w:themeShade="80"/>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E3058"/>
    <w:pPr>
      <w:ind w:left="833" w:hanging="113"/>
      <w:contextualSpacing/>
    </w:pPr>
  </w:style>
  <w:style w:type="character" w:customStyle="1" w:styleId="Nadpis1Char">
    <w:name w:val="Nadpis 1 Char"/>
    <w:basedOn w:val="Standardnpsmoodstavce"/>
    <w:link w:val="Nadpis1"/>
    <w:uiPriority w:val="9"/>
    <w:rsid w:val="00901C33"/>
    <w:rPr>
      <w:rFonts w:ascii="Times New Roman" w:eastAsiaTheme="majorEastAsia" w:hAnsi="Times New Roman" w:cstheme="majorBidi"/>
      <w:b/>
      <w:color w:val="767171" w:themeColor="background2" w:themeShade="80"/>
      <w:sz w:val="28"/>
      <w:szCs w:val="32"/>
    </w:rPr>
  </w:style>
  <w:style w:type="paragraph" w:customStyle="1" w:styleId="Odstavec">
    <w:name w:val="Odstavec"/>
    <w:basedOn w:val="Normln"/>
    <w:link w:val="OdstavecChar"/>
    <w:qFormat/>
    <w:rsid w:val="0020522E"/>
    <w:pPr>
      <w:numPr>
        <w:ilvl w:val="1"/>
        <w:numId w:val="2"/>
      </w:numPr>
      <w:spacing w:after="120" w:line="240" w:lineRule="auto"/>
      <w:ind w:left="680" w:hanging="680"/>
      <w:jc w:val="both"/>
    </w:pPr>
    <w:rPr>
      <w:rFonts w:ascii="Times New Roman" w:hAnsi="Times New Roman"/>
      <w:sz w:val="24"/>
    </w:rPr>
  </w:style>
  <w:style w:type="table" w:styleId="Mkatabulky">
    <w:name w:val="Table Grid"/>
    <w:basedOn w:val="Normlntabulka"/>
    <w:uiPriority w:val="39"/>
    <w:rsid w:val="00F94A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Char">
    <w:name w:val="Odstavec Char"/>
    <w:basedOn w:val="Nadpis1Char"/>
    <w:link w:val="Odstavec"/>
    <w:rsid w:val="0020522E"/>
    <w:rPr>
      <w:rFonts w:ascii="Times New Roman" w:eastAsiaTheme="majorEastAsia" w:hAnsi="Times New Roman" w:cstheme="majorBidi"/>
      <w:b w:val="0"/>
      <w:color w:val="767171" w:themeColor="background2" w:themeShade="80"/>
      <w:sz w:val="24"/>
      <w:szCs w:val="32"/>
    </w:rPr>
  </w:style>
  <w:style w:type="paragraph" w:styleId="Zpat">
    <w:name w:val="footer"/>
    <w:basedOn w:val="Normln"/>
    <w:link w:val="ZpatChar"/>
    <w:uiPriority w:val="99"/>
    <w:rsid w:val="0020522E"/>
    <w:pPr>
      <w:tabs>
        <w:tab w:val="center" w:pos="4536"/>
        <w:tab w:val="right" w:pos="9072"/>
      </w:tabs>
      <w:spacing w:after="0" w:line="240" w:lineRule="auto"/>
    </w:pPr>
    <w:rPr>
      <w:rFonts w:ascii="Times New Roman" w:eastAsia="Times New Roman" w:hAnsi="Times New Roman" w:cs="Times New Roman"/>
      <w:kern w:val="0"/>
      <w:sz w:val="24"/>
      <w:szCs w:val="24"/>
      <w:lang w:val="en-US" w:eastAsia="x-none"/>
      <w14:ligatures w14:val="none"/>
    </w:rPr>
  </w:style>
  <w:style w:type="character" w:customStyle="1" w:styleId="ZpatChar">
    <w:name w:val="Zápatí Char"/>
    <w:basedOn w:val="Standardnpsmoodstavce"/>
    <w:link w:val="Zpat"/>
    <w:uiPriority w:val="99"/>
    <w:rsid w:val="0020522E"/>
    <w:rPr>
      <w:rFonts w:ascii="Times New Roman" w:eastAsia="Times New Roman" w:hAnsi="Times New Roman" w:cs="Times New Roman"/>
      <w:kern w:val="0"/>
      <w:sz w:val="24"/>
      <w:szCs w:val="24"/>
      <w:lang w:val="en-US" w:eastAsia="x-none"/>
      <w14:ligatures w14:val="none"/>
    </w:rPr>
  </w:style>
  <w:style w:type="paragraph" w:styleId="Zhlav">
    <w:name w:val="header"/>
    <w:basedOn w:val="Normln"/>
    <w:link w:val="ZhlavChar"/>
    <w:uiPriority w:val="99"/>
    <w:unhideWhenUsed/>
    <w:rsid w:val="0020522E"/>
    <w:pPr>
      <w:tabs>
        <w:tab w:val="center" w:pos="4536"/>
        <w:tab w:val="right" w:pos="9072"/>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ZhlavChar">
    <w:name w:val="Záhlaví Char"/>
    <w:basedOn w:val="Standardnpsmoodstavce"/>
    <w:link w:val="Zhlav"/>
    <w:uiPriority w:val="99"/>
    <w:rsid w:val="0020522E"/>
    <w:rPr>
      <w:rFonts w:ascii="Times New Roman" w:eastAsia="Times New Roman" w:hAnsi="Times New Roman" w:cs="Times New Roman"/>
      <w:kern w:val="0"/>
      <w:sz w:val="24"/>
      <w:szCs w:val="24"/>
      <w:lang w:val="en-US"/>
      <w14:ligatures w14:val="none"/>
    </w:rPr>
  </w:style>
  <w:style w:type="table" w:customStyle="1" w:styleId="TableGrid2">
    <w:name w:val="Table Grid2"/>
    <w:basedOn w:val="Normlntabulka"/>
    <w:next w:val="Mkatabulky"/>
    <w:uiPriority w:val="39"/>
    <w:rsid w:val="002052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0E1804"/>
    <w:rPr>
      <w:sz w:val="16"/>
      <w:szCs w:val="16"/>
    </w:rPr>
  </w:style>
  <w:style w:type="paragraph" w:styleId="Textkomente">
    <w:name w:val="annotation text"/>
    <w:basedOn w:val="Normln"/>
    <w:link w:val="TextkomenteChar"/>
    <w:unhideWhenUsed/>
    <w:rsid w:val="000E1804"/>
    <w:pPr>
      <w:spacing w:line="240" w:lineRule="auto"/>
    </w:pPr>
    <w:rPr>
      <w:sz w:val="20"/>
      <w:szCs w:val="20"/>
    </w:rPr>
  </w:style>
  <w:style w:type="character" w:customStyle="1" w:styleId="TextkomenteChar">
    <w:name w:val="Text komentáře Char"/>
    <w:basedOn w:val="Standardnpsmoodstavce"/>
    <w:link w:val="Textkomente"/>
    <w:rsid w:val="000E1804"/>
    <w:rPr>
      <w:sz w:val="20"/>
      <w:szCs w:val="20"/>
    </w:rPr>
  </w:style>
  <w:style w:type="paragraph" w:styleId="Pedmtkomente">
    <w:name w:val="annotation subject"/>
    <w:basedOn w:val="Textkomente"/>
    <w:next w:val="Textkomente"/>
    <w:link w:val="PedmtkomenteChar"/>
    <w:uiPriority w:val="99"/>
    <w:semiHidden/>
    <w:unhideWhenUsed/>
    <w:rsid w:val="000E1804"/>
    <w:rPr>
      <w:b/>
      <w:bCs/>
    </w:rPr>
  </w:style>
  <w:style w:type="character" w:customStyle="1" w:styleId="PedmtkomenteChar">
    <w:name w:val="Předmět komentáře Char"/>
    <w:basedOn w:val="TextkomenteChar"/>
    <w:link w:val="Pedmtkomente"/>
    <w:uiPriority w:val="99"/>
    <w:semiHidden/>
    <w:rsid w:val="000E1804"/>
    <w:rPr>
      <w:b/>
      <w:bCs/>
      <w:sz w:val="20"/>
      <w:szCs w:val="20"/>
    </w:rPr>
  </w:style>
  <w:style w:type="paragraph" w:styleId="Zkladntext">
    <w:name w:val="Body Text"/>
    <w:basedOn w:val="Normln"/>
    <w:link w:val="ZkladntextChar"/>
    <w:uiPriority w:val="99"/>
    <w:unhideWhenUsed/>
    <w:qFormat/>
    <w:rsid w:val="000E1804"/>
    <w:pPr>
      <w:spacing w:after="120" w:line="276" w:lineRule="auto"/>
    </w:pPr>
    <w:rPr>
      <w:rFonts w:ascii="Times New Roman" w:eastAsia="Times New Roman" w:hAnsi="Times New Roman" w:cs="Times New Roman"/>
      <w:kern w:val="0"/>
      <w:sz w:val="24"/>
      <w14:ligatures w14:val="none"/>
    </w:rPr>
  </w:style>
  <w:style w:type="character" w:customStyle="1" w:styleId="ZkladntextChar">
    <w:name w:val="Základní text Char"/>
    <w:basedOn w:val="Standardnpsmoodstavce"/>
    <w:link w:val="Zkladntext"/>
    <w:uiPriority w:val="99"/>
    <w:rsid w:val="000E1804"/>
    <w:rPr>
      <w:rFonts w:ascii="Times New Roman" w:eastAsia="Times New Roman" w:hAnsi="Times New Roman" w:cs="Times New Roman"/>
      <w:kern w:val="0"/>
      <w:sz w:val="24"/>
      <w14:ligatures w14:val="none"/>
    </w:rPr>
  </w:style>
  <w:style w:type="paragraph" w:customStyle="1" w:styleId="odstavec2">
    <w:name w:val="odstavec 2"/>
    <w:basedOn w:val="Odstavec"/>
    <w:link w:val="odstavec2Char"/>
    <w:qFormat/>
    <w:rsid w:val="00D3361D"/>
    <w:pPr>
      <w:numPr>
        <w:ilvl w:val="2"/>
      </w:numPr>
      <w:spacing w:after="60"/>
    </w:pPr>
  </w:style>
  <w:style w:type="paragraph" w:styleId="Textpoznpodarou">
    <w:name w:val="footnote text"/>
    <w:basedOn w:val="Normln"/>
    <w:link w:val="TextpoznpodarouChar"/>
    <w:uiPriority w:val="99"/>
    <w:semiHidden/>
    <w:unhideWhenUsed/>
    <w:rsid w:val="00F23336"/>
    <w:pPr>
      <w:spacing w:after="0" w:line="240" w:lineRule="auto"/>
    </w:pPr>
    <w:rPr>
      <w:sz w:val="20"/>
      <w:szCs w:val="20"/>
    </w:rPr>
  </w:style>
  <w:style w:type="character" w:customStyle="1" w:styleId="odstavec2Char">
    <w:name w:val="odstavec 2 Char"/>
    <w:basedOn w:val="OdstavecChar"/>
    <w:link w:val="odstavec2"/>
    <w:rsid w:val="00D3361D"/>
    <w:rPr>
      <w:rFonts w:ascii="Times New Roman" w:eastAsiaTheme="majorEastAsia" w:hAnsi="Times New Roman" w:cstheme="majorBidi"/>
      <w:b w:val="0"/>
      <w:color w:val="767171" w:themeColor="background2" w:themeShade="80"/>
      <w:sz w:val="24"/>
      <w:szCs w:val="32"/>
    </w:rPr>
  </w:style>
  <w:style w:type="character" w:customStyle="1" w:styleId="TextpoznpodarouChar">
    <w:name w:val="Text pozn. pod čarou Char"/>
    <w:basedOn w:val="Standardnpsmoodstavce"/>
    <w:link w:val="Textpoznpodarou"/>
    <w:uiPriority w:val="99"/>
    <w:semiHidden/>
    <w:rsid w:val="00F23336"/>
    <w:rPr>
      <w:sz w:val="20"/>
      <w:szCs w:val="20"/>
    </w:rPr>
  </w:style>
  <w:style w:type="character" w:styleId="Znakapoznpodarou">
    <w:name w:val="footnote reference"/>
    <w:basedOn w:val="Standardnpsmoodstavce"/>
    <w:uiPriority w:val="99"/>
    <w:semiHidden/>
    <w:unhideWhenUsed/>
    <w:rsid w:val="00F23336"/>
    <w:rPr>
      <w:vertAlign w:val="superscript"/>
    </w:rPr>
  </w:style>
  <w:style w:type="character" w:styleId="Hypertextovodkaz">
    <w:name w:val="Hyperlink"/>
    <w:basedOn w:val="Standardnpsmoodstavce"/>
    <w:uiPriority w:val="99"/>
    <w:unhideWhenUsed/>
    <w:rsid w:val="00F23336"/>
    <w:rPr>
      <w:color w:val="0563C1" w:themeColor="hyperlink"/>
      <w:u w:val="single"/>
    </w:rPr>
  </w:style>
  <w:style w:type="character" w:styleId="Nevyeenzmnka">
    <w:name w:val="Unresolved Mention"/>
    <w:basedOn w:val="Standardnpsmoodstavce"/>
    <w:uiPriority w:val="99"/>
    <w:semiHidden/>
    <w:unhideWhenUsed/>
    <w:rsid w:val="00F23336"/>
    <w:rPr>
      <w:color w:val="605E5C"/>
      <w:shd w:val="clear" w:color="auto" w:fill="E1DFDD"/>
    </w:rPr>
  </w:style>
  <w:style w:type="character" w:styleId="Sledovanodkaz">
    <w:name w:val="FollowedHyperlink"/>
    <w:basedOn w:val="Standardnpsmoodstavce"/>
    <w:uiPriority w:val="99"/>
    <w:semiHidden/>
    <w:unhideWhenUsed/>
    <w:rsid w:val="00F23336"/>
    <w:rPr>
      <w:color w:val="954F72" w:themeColor="followedHyperlink"/>
      <w:u w:val="single"/>
    </w:rPr>
  </w:style>
  <w:style w:type="paragraph" w:styleId="Revize">
    <w:name w:val="Revision"/>
    <w:hidden/>
    <w:uiPriority w:val="99"/>
    <w:semiHidden/>
    <w:rsid w:val="008852A2"/>
    <w:pPr>
      <w:spacing w:after="0" w:line="240" w:lineRule="auto"/>
    </w:pPr>
  </w:style>
  <w:style w:type="character" w:customStyle="1" w:styleId="OdstavecseseznamemChar">
    <w:name w:val="Odstavec se seznamem Char"/>
    <w:link w:val="Odstavecseseznamem"/>
    <w:uiPriority w:val="34"/>
    <w:rsid w:val="004B1A67"/>
  </w:style>
  <w:style w:type="paragraph" w:customStyle="1" w:styleId="Normlnodr">
    <w:name w:val="Normální odr."/>
    <w:basedOn w:val="Normln"/>
    <w:link w:val="NormlnodrChar"/>
    <w:qFormat/>
    <w:rsid w:val="000B33DF"/>
    <w:pPr>
      <w:numPr>
        <w:numId w:val="7"/>
      </w:numPr>
      <w:suppressAutoHyphens/>
      <w:overflowPunct w:val="0"/>
      <w:autoSpaceDE w:val="0"/>
      <w:spacing w:after="60" w:line="240" w:lineRule="auto"/>
      <w:jc w:val="both"/>
      <w:textAlignment w:val="baseline"/>
    </w:pPr>
    <w:rPr>
      <w:rFonts w:ascii="Times New Roman" w:eastAsia="Times New Roman" w:hAnsi="Times New Roman" w:cs="Times New Roman"/>
      <w:kern w:val="0"/>
      <w:szCs w:val="20"/>
      <w:lang w:val="x-none" w:eastAsia="ar-SA"/>
      <w14:ligatures w14:val="none"/>
    </w:rPr>
  </w:style>
  <w:style w:type="character" w:customStyle="1" w:styleId="NormlnodrChar">
    <w:name w:val="Normální odr. Char"/>
    <w:link w:val="Normlnodr"/>
    <w:rsid w:val="000B33DF"/>
    <w:rPr>
      <w:rFonts w:ascii="Times New Roman" w:eastAsia="Times New Roman" w:hAnsi="Times New Roman" w:cs="Times New Roman"/>
      <w:kern w:val="0"/>
      <w:szCs w:val="20"/>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02404">
      <w:bodyDiv w:val="1"/>
      <w:marLeft w:val="0"/>
      <w:marRight w:val="0"/>
      <w:marTop w:val="0"/>
      <w:marBottom w:val="0"/>
      <w:divBdr>
        <w:top w:val="none" w:sz="0" w:space="0" w:color="auto"/>
        <w:left w:val="none" w:sz="0" w:space="0" w:color="auto"/>
        <w:bottom w:val="none" w:sz="0" w:space="0" w:color="auto"/>
        <w:right w:val="none" w:sz="0" w:space="0" w:color="auto"/>
      </w:divBdr>
    </w:div>
    <w:div w:id="154995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msmt.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148D-5F96-423B-9728-05416C98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4325</Words>
  <Characters>25519</Characters>
  <Application>Microsoft Office Word</Application>
  <DocSecurity>0</DocSecurity>
  <Lines>212</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Sedláček Petr</dc:creator>
  <cp:keywords/>
  <dc:description/>
  <cp:lastModifiedBy>Kaluža Lukáš</cp:lastModifiedBy>
  <cp:revision>5</cp:revision>
  <dcterms:created xsi:type="dcterms:W3CDTF">2023-07-27T11:23:00Z</dcterms:created>
  <dcterms:modified xsi:type="dcterms:W3CDTF">2023-08-01T12:53:00Z</dcterms:modified>
</cp:coreProperties>
</file>