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4962"/>
        <w:gridCol w:w="1383"/>
        <w:gridCol w:w="2727"/>
      </w:tblGrid>
      <w:tr w:rsidR="00BD66C3" w:rsidRPr="00BA64A0" w:rsidTr="00BD66C3">
        <w:trPr>
          <w:cantSplit/>
        </w:trPr>
        <w:tc>
          <w:tcPr>
            <w:tcW w:w="4962" w:type="dxa"/>
            <w:vMerge w:val="restart"/>
          </w:tcPr>
          <w:p w:rsidR="00BE7548" w:rsidRPr="00F95AAD" w:rsidRDefault="00A94F56" w:rsidP="005D3E01">
            <w:pPr>
              <w:spacing w:after="0" w:line="240" w:lineRule="auto"/>
              <w:rPr>
                <w:b/>
                <w:szCs w:val="24"/>
              </w:rPr>
            </w:pPr>
            <w:r w:rsidRPr="00F95AAD">
              <w:rPr>
                <w:b/>
                <w:szCs w:val="24"/>
              </w:rPr>
              <w:t>Město Holýšov</w:t>
            </w:r>
          </w:p>
          <w:p w:rsidR="00BE7548" w:rsidRPr="00F95AAD" w:rsidRDefault="00A94F56" w:rsidP="00BE7548">
            <w:pPr>
              <w:spacing w:after="0" w:line="240" w:lineRule="auto"/>
              <w:rPr>
                <w:szCs w:val="24"/>
              </w:rPr>
            </w:pPr>
            <w:r w:rsidRPr="00F95AAD">
              <w:rPr>
                <w:szCs w:val="24"/>
              </w:rPr>
              <w:t>Mgr. Jan Mendřec, starosta města</w:t>
            </w:r>
          </w:p>
          <w:p w:rsidR="003832A0" w:rsidRPr="00F95AAD" w:rsidRDefault="003832A0" w:rsidP="00BE7548">
            <w:pPr>
              <w:spacing w:after="0" w:line="240" w:lineRule="auto"/>
              <w:rPr>
                <w:szCs w:val="24"/>
              </w:rPr>
            </w:pPr>
          </w:p>
          <w:p w:rsidR="00017450" w:rsidRPr="00F95AAD" w:rsidRDefault="00017450" w:rsidP="003832A0">
            <w:pPr>
              <w:spacing w:after="0" w:line="240" w:lineRule="auto"/>
              <w:rPr>
                <w:szCs w:val="24"/>
              </w:rPr>
            </w:pPr>
            <w:r w:rsidRPr="00F95AAD">
              <w:rPr>
                <w:szCs w:val="24"/>
              </w:rPr>
              <w:t xml:space="preserve">náměstí 5. května 32, </w:t>
            </w:r>
          </w:p>
          <w:p w:rsidR="00017450" w:rsidRPr="00F95AAD" w:rsidRDefault="00017450" w:rsidP="003832A0">
            <w:pPr>
              <w:spacing w:after="0" w:line="240" w:lineRule="auto"/>
              <w:rPr>
                <w:szCs w:val="24"/>
              </w:rPr>
            </w:pPr>
            <w:r w:rsidRPr="00F95AAD">
              <w:rPr>
                <w:szCs w:val="24"/>
              </w:rPr>
              <w:t>Holýšov</w:t>
            </w:r>
          </w:p>
          <w:p w:rsidR="005D3E01" w:rsidRPr="00F95AAD" w:rsidRDefault="005D3E01" w:rsidP="003832A0">
            <w:pPr>
              <w:spacing w:after="0" w:line="240" w:lineRule="auto"/>
              <w:rPr>
                <w:szCs w:val="24"/>
              </w:rPr>
            </w:pPr>
            <w:r w:rsidRPr="00F95AAD">
              <w:rPr>
                <w:szCs w:val="24"/>
              </w:rPr>
              <w:t>Česká republika</w:t>
            </w:r>
          </w:p>
        </w:tc>
        <w:tc>
          <w:tcPr>
            <w:tcW w:w="1383" w:type="dxa"/>
          </w:tcPr>
          <w:p w:rsidR="00BD66C3" w:rsidRPr="00F95AAD" w:rsidRDefault="00BD66C3" w:rsidP="00113944">
            <w:pPr>
              <w:spacing w:after="0" w:line="240" w:lineRule="auto"/>
              <w:rPr>
                <w:szCs w:val="24"/>
              </w:rPr>
            </w:pPr>
            <w:r w:rsidRPr="00F95AAD">
              <w:rPr>
                <w:szCs w:val="24"/>
              </w:rPr>
              <w:t>Vaše značka:</w:t>
            </w:r>
          </w:p>
        </w:tc>
        <w:tc>
          <w:tcPr>
            <w:tcW w:w="2727" w:type="dxa"/>
          </w:tcPr>
          <w:p w:rsidR="00BD66C3" w:rsidRPr="00F95AAD" w:rsidRDefault="00BD66C3" w:rsidP="00113944">
            <w:pPr>
              <w:spacing w:after="0" w:line="240" w:lineRule="auto"/>
              <w:rPr>
                <w:szCs w:val="24"/>
              </w:rPr>
            </w:pPr>
          </w:p>
        </w:tc>
      </w:tr>
      <w:tr w:rsidR="00BD66C3" w:rsidRPr="00BA64A0" w:rsidTr="00BD66C3">
        <w:trPr>
          <w:cantSplit/>
        </w:trPr>
        <w:tc>
          <w:tcPr>
            <w:tcW w:w="4962" w:type="dxa"/>
            <w:vMerge/>
          </w:tcPr>
          <w:p w:rsidR="00BD66C3" w:rsidRPr="00F95AAD" w:rsidRDefault="00BD66C3" w:rsidP="00113944">
            <w:pPr>
              <w:spacing w:after="0" w:line="240" w:lineRule="auto"/>
              <w:rPr>
                <w:szCs w:val="24"/>
              </w:rPr>
            </w:pPr>
          </w:p>
        </w:tc>
        <w:tc>
          <w:tcPr>
            <w:tcW w:w="1383" w:type="dxa"/>
          </w:tcPr>
          <w:p w:rsidR="00BD66C3" w:rsidRPr="00F95AAD" w:rsidRDefault="00BD66C3" w:rsidP="00113944">
            <w:pPr>
              <w:spacing w:after="0" w:line="240" w:lineRule="auto"/>
              <w:rPr>
                <w:szCs w:val="24"/>
              </w:rPr>
            </w:pPr>
            <w:r w:rsidRPr="00F95AAD">
              <w:rPr>
                <w:szCs w:val="24"/>
              </w:rPr>
              <w:t>Naše značka:</w:t>
            </w:r>
          </w:p>
        </w:tc>
        <w:tc>
          <w:tcPr>
            <w:tcW w:w="2727" w:type="dxa"/>
          </w:tcPr>
          <w:p w:rsidR="00BD66C3" w:rsidRPr="00F95AAD" w:rsidRDefault="00BD66C3" w:rsidP="00017450">
            <w:pPr>
              <w:spacing w:after="0" w:line="240" w:lineRule="auto"/>
              <w:rPr>
                <w:szCs w:val="24"/>
              </w:rPr>
            </w:pPr>
            <w:r w:rsidRPr="00F95AAD">
              <w:rPr>
                <w:szCs w:val="24"/>
              </w:rPr>
              <w:t>ENACO-201</w:t>
            </w:r>
            <w:r w:rsidR="00BE77D5" w:rsidRPr="00F95AAD">
              <w:rPr>
                <w:szCs w:val="24"/>
              </w:rPr>
              <w:t>6</w:t>
            </w:r>
            <w:r w:rsidR="004E782F" w:rsidRPr="00F95AAD">
              <w:rPr>
                <w:szCs w:val="24"/>
              </w:rPr>
              <w:t>0</w:t>
            </w:r>
            <w:r w:rsidR="00017450" w:rsidRPr="00F95AAD">
              <w:rPr>
                <w:szCs w:val="24"/>
              </w:rPr>
              <w:t>13</w:t>
            </w:r>
          </w:p>
        </w:tc>
      </w:tr>
      <w:tr w:rsidR="00BD66C3" w:rsidRPr="00BA64A0" w:rsidTr="00BD66C3">
        <w:trPr>
          <w:cantSplit/>
        </w:trPr>
        <w:tc>
          <w:tcPr>
            <w:tcW w:w="4962" w:type="dxa"/>
            <w:vMerge/>
          </w:tcPr>
          <w:p w:rsidR="00BD66C3" w:rsidRPr="00F95AAD" w:rsidRDefault="00BD66C3" w:rsidP="00113944">
            <w:pPr>
              <w:spacing w:after="0" w:line="240" w:lineRule="auto"/>
              <w:rPr>
                <w:szCs w:val="24"/>
              </w:rPr>
            </w:pPr>
          </w:p>
        </w:tc>
        <w:tc>
          <w:tcPr>
            <w:tcW w:w="1383" w:type="dxa"/>
          </w:tcPr>
          <w:p w:rsidR="00BD66C3" w:rsidRPr="00F95AAD" w:rsidRDefault="00BD66C3" w:rsidP="00113944">
            <w:pPr>
              <w:spacing w:after="0" w:line="240" w:lineRule="auto"/>
              <w:rPr>
                <w:szCs w:val="24"/>
              </w:rPr>
            </w:pPr>
            <w:r w:rsidRPr="00F95AAD">
              <w:rPr>
                <w:szCs w:val="24"/>
              </w:rPr>
              <w:t>Vyřizuje:</w:t>
            </w:r>
          </w:p>
        </w:tc>
        <w:tc>
          <w:tcPr>
            <w:tcW w:w="2727" w:type="dxa"/>
          </w:tcPr>
          <w:p w:rsidR="00BD66C3" w:rsidRPr="00F95AAD" w:rsidRDefault="003832A0" w:rsidP="00113944">
            <w:pPr>
              <w:spacing w:after="0" w:line="240" w:lineRule="auto"/>
              <w:rPr>
                <w:szCs w:val="24"/>
              </w:rPr>
            </w:pPr>
            <w:r w:rsidRPr="00F95AAD">
              <w:rPr>
                <w:szCs w:val="24"/>
              </w:rPr>
              <w:t>Ing. Michal Šváb</w:t>
            </w:r>
          </w:p>
        </w:tc>
      </w:tr>
      <w:tr w:rsidR="00BD66C3" w:rsidRPr="00BA64A0" w:rsidTr="00BD66C3">
        <w:trPr>
          <w:cantSplit/>
        </w:trPr>
        <w:tc>
          <w:tcPr>
            <w:tcW w:w="4962" w:type="dxa"/>
            <w:vMerge/>
          </w:tcPr>
          <w:p w:rsidR="00BD66C3" w:rsidRPr="00F95AAD" w:rsidRDefault="00BD66C3" w:rsidP="00113944">
            <w:pPr>
              <w:spacing w:after="0" w:line="240" w:lineRule="auto"/>
              <w:rPr>
                <w:szCs w:val="24"/>
              </w:rPr>
            </w:pPr>
          </w:p>
        </w:tc>
        <w:tc>
          <w:tcPr>
            <w:tcW w:w="1383" w:type="dxa"/>
          </w:tcPr>
          <w:p w:rsidR="00BD66C3" w:rsidRPr="00F95AAD" w:rsidRDefault="00BD66C3" w:rsidP="00113944">
            <w:pPr>
              <w:spacing w:after="0" w:line="240" w:lineRule="auto"/>
              <w:rPr>
                <w:szCs w:val="24"/>
              </w:rPr>
            </w:pPr>
            <w:r w:rsidRPr="00F95AAD">
              <w:rPr>
                <w:szCs w:val="24"/>
              </w:rPr>
              <w:t>Tel.:</w:t>
            </w:r>
          </w:p>
        </w:tc>
        <w:tc>
          <w:tcPr>
            <w:tcW w:w="2727" w:type="dxa"/>
          </w:tcPr>
          <w:p w:rsidR="00BD66C3" w:rsidRPr="00F95AAD" w:rsidRDefault="00BD66C3" w:rsidP="00113944">
            <w:pPr>
              <w:spacing w:after="0" w:line="240" w:lineRule="auto"/>
              <w:rPr>
                <w:szCs w:val="24"/>
              </w:rPr>
            </w:pPr>
            <w:r w:rsidRPr="00F95AAD">
              <w:rPr>
                <w:szCs w:val="24"/>
              </w:rPr>
              <w:t>+420 222 515 445</w:t>
            </w:r>
          </w:p>
        </w:tc>
      </w:tr>
      <w:tr w:rsidR="005D3E01" w:rsidRPr="00BA64A0" w:rsidTr="005D3E01">
        <w:trPr>
          <w:cantSplit/>
        </w:trPr>
        <w:tc>
          <w:tcPr>
            <w:tcW w:w="4962" w:type="dxa"/>
            <w:vMerge/>
          </w:tcPr>
          <w:p w:rsidR="005D3E01" w:rsidRPr="00F95AAD" w:rsidRDefault="005D3E01" w:rsidP="00113944">
            <w:pPr>
              <w:spacing w:after="0" w:line="240" w:lineRule="auto"/>
              <w:rPr>
                <w:szCs w:val="24"/>
              </w:rPr>
            </w:pPr>
          </w:p>
        </w:tc>
        <w:tc>
          <w:tcPr>
            <w:tcW w:w="1383" w:type="dxa"/>
          </w:tcPr>
          <w:p w:rsidR="005D3E01" w:rsidRPr="00F95AAD" w:rsidRDefault="005D3E01" w:rsidP="00113944">
            <w:pPr>
              <w:spacing w:after="0" w:line="240" w:lineRule="auto"/>
              <w:rPr>
                <w:szCs w:val="24"/>
              </w:rPr>
            </w:pPr>
            <w:r w:rsidRPr="00F95AAD">
              <w:rPr>
                <w:szCs w:val="24"/>
              </w:rPr>
              <w:t>Mobil:</w:t>
            </w:r>
          </w:p>
        </w:tc>
        <w:tc>
          <w:tcPr>
            <w:tcW w:w="2727" w:type="dxa"/>
          </w:tcPr>
          <w:p w:rsidR="005D3E01" w:rsidRPr="00F95AAD" w:rsidRDefault="005D3E01" w:rsidP="003832A0">
            <w:pPr>
              <w:spacing w:after="0" w:line="240" w:lineRule="auto"/>
              <w:rPr>
                <w:szCs w:val="24"/>
              </w:rPr>
            </w:pPr>
          </w:p>
        </w:tc>
      </w:tr>
      <w:tr w:rsidR="00BD66C3" w:rsidRPr="00BA64A0" w:rsidTr="00BD66C3">
        <w:trPr>
          <w:cantSplit/>
        </w:trPr>
        <w:tc>
          <w:tcPr>
            <w:tcW w:w="4962" w:type="dxa"/>
            <w:vMerge/>
          </w:tcPr>
          <w:p w:rsidR="00BD66C3" w:rsidRPr="00F95AAD" w:rsidRDefault="00BD66C3" w:rsidP="00113944">
            <w:pPr>
              <w:spacing w:after="0" w:line="240" w:lineRule="auto"/>
              <w:rPr>
                <w:szCs w:val="24"/>
              </w:rPr>
            </w:pPr>
          </w:p>
        </w:tc>
        <w:tc>
          <w:tcPr>
            <w:tcW w:w="1383" w:type="dxa"/>
          </w:tcPr>
          <w:p w:rsidR="00BD66C3" w:rsidRPr="00F95AAD" w:rsidRDefault="00BD66C3" w:rsidP="00113944">
            <w:pPr>
              <w:spacing w:after="0" w:line="240" w:lineRule="auto"/>
              <w:rPr>
                <w:szCs w:val="24"/>
              </w:rPr>
            </w:pPr>
            <w:r w:rsidRPr="00F95AAD">
              <w:rPr>
                <w:szCs w:val="24"/>
              </w:rPr>
              <w:t>E-mail:</w:t>
            </w:r>
          </w:p>
        </w:tc>
        <w:tc>
          <w:tcPr>
            <w:tcW w:w="2727" w:type="dxa"/>
            <w:shd w:val="clear" w:color="auto" w:fill="auto"/>
          </w:tcPr>
          <w:p w:rsidR="00BD66C3" w:rsidRPr="00F95AAD" w:rsidRDefault="00BD66C3" w:rsidP="00113944">
            <w:pPr>
              <w:spacing w:after="0" w:line="240" w:lineRule="auto"/>
              <w:rPr>
                <w:szCs w:val="24"/>
              </w:rPr>
            </w:pPr>
          </w:p>
        </w:tc>
      </w:tr>
      <w:tr w:rsidR="00BD66C3" w:rsidRPr="00BA64A0" w:rsidTr="00BD66C3">
        <w:trPr>
          <w:cantSplit/>
        </w:trPr>
        <w:tc>
          <w:tcPr>
            <w:tcW w:w="4962" w:type="dxa"/>
          </w:tcPr>
          <w:p w:rsidR="00F87514" w:rsidRPr="00F95AAD" w:rsidRDefault="002832D0" w:rsidP="002832D0">
            <w:pPr>
              <w:spacing w:after="0" w:line="240" w:lineRule="auto"/>
              <w:rPr>
                <w:szCs w:val="24"/>
              </w:rPr>
            </w:pPr>
            <w:r>
              <w:rPr>
                <w:szCs w:val="24"/>
              </w:rPr>
              <w:t>4</w:t>
            </w:r>
            <w:r w:rsidR="00013E36" w:rsidRPr="00F95AAD">
              <w:rPr>
                <w:szCs w:val="24"/>
              </w:rPr>
              <w:t>.</w:t>
            </w:r>
            <w:r>
              <w:rPr>
                <w:szCs w:val="24"/>
              </w:rPr>
              <w:t>1</w:t>
            </w:r>
            <w:r w:rsidR="00BD66C3" w:rsidRPr="00F95AAD">
              <w:rPr>
                <w:szCs w:val="24"/>
              </w:rPr>
              <w:t>.201</w:t>
            </w:r>
            <w:r>
              <w:rPr>
                <w:szCs w:val="24"/>
              </w:rPr>
              <w:t>8</w:t>
            </w:r>
          </w:p>
        </w:tc>
        <w:tc>
          <w:tcPr>
            <w:tcW w:w="4110" w:type="dxa"/>
            <w:gridSpan w:val="2"/>
          </w:tcPr>
          <w:p w:rsidR="00BD66C3" w:rsidRPr="00F95AAD" w:rsidRDefault="00BD66C3" w:rsidP="00113944">
            <w:pPr>
              <w:spacing w:after="0" w:line="240" w:lineRule="auto"/>
              <w:rPr>
                <w:szCs w:val="24"/>
              </w:rPr>
            </w:pPr>
          </w:p>
        </w:tc>
      </w:tr>
    </w:tbl>
    <w:p w:rsidR="00F87514" w:rsidRDefault="00F87514" w:rsidP="00BD66C3">
      <w:pPr>
        <w:spacing w:after="0" w:line="240" w:lineRule="auto"/>
        <w:rPr>
          <w:b/>
          <w:szCs w:val="24"/>
          <w:u w:val="single"/>
        </w:rPr>
      </w:pPr>
    </w:p>
    <w:p w:rsidR="00F95AAD" w:rsidRDefault="00F95AAD" w:rsidP="00BD66C3">
      <w:pPr>
        <w:spacing w:after="0" w:line="240" w:lineRule="auto"/>
        <w:rPr>
          <w:b/>
          <w:u w:val="single"/>
        </w:rPr>
      </w:pPr>
    </w:p>
    <w:p w:rsidR="00EF0F6C" w:rsidRPr="00164BE4" w:rsidRDefault="00017450" w:rsidP="00BD66C3">
      <w:pPr>
        <w:spacing w:after="0" w:line="240" w:lineRule="auto"/>
        <w:rPr>
          <w:b/>
          <w:u w:val="single"/>
        </w:rPr>
      </w:pPr>
      <w:r>
        <w:rPr>
          <w:b/>
          <w:u w:val="single"/>
        </w:rPr>
        <w:t>Technické podklady pro přípravu Zadávací dokumentace pro Výběrové řízení na na provozovatele tepelného zdroje a dodavatele tepla pro město Holýšov</w:t>
      </w:r>
    </w:p>
    <w:p w:rsidR="00A64729" w:rsidRDefault="00A64729" w:rsidP="00BD66C3">
      <w:pPr>
        <w:spacing w:after="0" w:line="240" w:lineRule="auto"/>
        <w:rPr>
          <w:b/>
          <w:szCs w:val="24"/>
          <w:u w:val="single"/>
        </w:rPr>
      </w:pPr>
    </w:p>
    <w:p w:rsidR="00384358" w:rsidRPr="00F95AAD" w:rsidRDefault="00017450" w:rsidP="00EF0F6C">
      <w:pPr>
        <w:pStyle w:val="MainText"/>
        <w:rPr>
          <w:szCs w:val="24"/>
        </w:rPr>
      </w:pPr>
      <w:r w:rsidRPr="00F95AAD">
        <w:rPr>
          <w:szCs w:val="24"/>
        </w:rPr>
        <w:t xml:space="preserve">Technické podklady pro přípravu Zadávací dokumentace pro Výběrové řízení na na provozovatele tepelného zdroje a dodavatele tepla pro město Holýšov </w:t>
      </w:r>
      <w:r w:rsidR="003832A0" w:rsidRPr="00F95AAD">
        <w:rPr>
          <w:szCs w:val="24"/>
        </w:rPr>
        <w:t>j</w:t>
      </w:r>
      <w:r w:rsidRPr="00F95AAD">
        <w:rPr>
          <w:szCs w:val="24"/>
        </w:rPr>
        <w:t>sou</w:t>
      </w:r>
      <w:r w:rsidR="003832A0" w:rsidRPr="00F95AAD">
        <w:rPr>
          <w:szCs w:val="24"/>
        </w:rPr>
        <w:t xml:space="preserve"> vyhotovena na základě požadavku </w:t>
      </w:r>
      <w:r w:rsidR="004E782F" w:rsidRPr="00F95AAD">
        <w:rPr>
          <w:szCs w:val="24"/>
        </w:rPr>
        <w:t>zadavatele</w:t>
      </w:r>
      <w:r w:rsidR="003832A0" w:rsidRPr="00F95AAD">
        <w:rPr>
          <w:szCs w:val="24"/>
        </w:rPr>
        <w:t xml:space="preserve"> (</w:t>
      </w:r>
      <w:r w:rsidRPr="00F95AAD">
        <w:rPr>
          <w:szCs w:val="24"/>
        </w:rPr>
        <w:t>město Holýšov</w:t>
      </w:r>
      <w:r w:rsidR="003832A0" w:rsidRPr="00F95AAD">
        <w:rPr>
          <w:szCs w:val="24"/>
        </w:rPr>
        <w:t xml:space="preserve">) </w:t>
      </w:r>
      <w:r w:rsidR="004E782F" w:rsidRPr="00F95AAD">
        <w:rPr>
          <w:szCs w:val="24"/>
        </w:rPr>
        <w:t xml:space="preserve">a jako </w:t>
      </w:r>
      <w:r w:rsidRPr="00F95AAD">
        <w:rPr>
          <w:szCs w:val="24"/>
        </w:rPr>
        <w:t>technický podklad pro přípravu zadávací dokumentace.</w:t>
      </w:r>
      <w:r w:rsidR="004E782F" w:rsidRPr="00F95AAD">
        <w:rPr>
          <w:szCs w:val="24"/>
        </w:rPr>
        <w:t xml:space="preserve"> </w:t>
      </w:r>
    </w:p>
    <w:p w:rsidR="00713087" w:rsidRPr="00F95AAD" w:rsidRDefault="00017450" w:rsidP="00EB62A3">
      <w:pPr>
        <w:pStyle w:val="MainText"/>
        <w:rPr>
          <w:szCs w:val="24"/>
        </w:rPr>
      </w:pPr>
      <w:r w:rsidRPr="00F95AAD">
        <w:rPr>
          <w:szCs w:val="24"/>
        </w:rPr>
        <w:t>Technické podklady jsou zpracovány na základě místního šetření, dostupných podkladů ke stávajícímu stavu tepelného hospodářství města Holýšov poskytnutých městskou společností MTBS, s.r.o. a související podklady a informace zajištěné z průběžného jednání s vedením města Holýšov.</w:t>
      </w:r>
    </w:p>
    <w:p w:rsidR="00713087" w:rsidRPr="00F95AAD" w:rsidRDefault="00017450" w:rsidP="00713087">
      <w:pPr>
        <w:pStyle w:val="MainText"/>
        <w:numPr>
          <w:ilvl w:val="0"/>
          <w:numId w:val="21"/>
        </w:numPr>
        <w:spacing w:before="240"/>
        <w:ind w:left="714" w:hanging="357"/>
        <w:rPr>
          <w:b/>
          <w:szCs w:val="24"/>
          <w:u w:val="single"/>
        </w:rPr>
      </w:pPr>
      <w:r w:rsidRPr="00F95AAD">
        <w:rPr>
          <w:b/>
          <w:szCs w:val="24"/>
          <w:u w:val="single"/>
        </w:rPr>
        <w:t>Úvodní předpoklady technických podmínek</w:t>
      </w:r>
    </w:p>
    <w:p w:rsidR="00713087" w:rsidRPr="00F95AAD" w:rsidRDefault="00017450" w:rsidP="00713087">
      <w:pPr>
        <w:pStyle w:val="MainText"/>
        <w:rPr>
          <w:szCs w:val="24"/>
        </w:rPr>
      </w:pPr>
      <w:r w:rsidRPr="00F95AAD">
        <w:rPr>
          <w:szCs w:val="24"/>
        </w:rPr>
        <w:t xml:space="preserve">Na základě detailní analýzy stávajícího systému centrálního zdroje tepla byly stanoveny základní určující </w:t>
      </w:r>
      <w:r w:rsidR="00AB38DE" w:rsidRPr="00F95AAD">
        <w:rPr>
          <w:szCs w:val="24"/>
        </w:rPr>
        <w:t xml:space="preserve">okrajové </w:t>
      </w:r>
      <w:r w:rsidRPr="00F95AAD">
        <w:rPr>
          <w:szCs w:val="24"/>
        </w:rPr>
        <w:t xml:space="preserve">podmínky a předpoklady pro stanovení </w:t>
      </w:r>
      <w:r w:rsidR="00AB38DE" w:rsidRPr="00F95AAD">
        <w:rPr>
          <w:szCs w:val="24"/>
        </w:rPr>
        <w:t>koncepce řešení Výběrového řízení na provozovatele tepelného zdroje a dodavatele tepla pro město Holýšov</w:t>
      </w:r>
      <w:r w:rsidR="00EF0F6C" w:rsidRPr="00F95AAD">
        <w:rPr>
          <w:szCs w:val="24"/>
        </w:rPr>
        <w:t xml:space="preserve">. </w:t>
      </w:r>
    </w:p>
    <w:p w:rsidR="00EF0F6C" w:rsidRPr="00F95AAD" w:rsidRDefault="00AB38DE" w:rsidP="00544CA2">
      <w:pPr>
        <w:pStyle w:val="MainText"/>
        <w:numPr>
          <w:ilvl w:val="0"/>
          <w:numId w:val="28"/>
        </w:numPr>
        <w:rPr>
          <w:szCs w:val="24"/>
        </w:rPr>
      </w:pPr>
      <w:r w:rsidRPr="00F95AAD">
        <w:rPr>
          <w:szCs w:val="24"/>
        </w:rPr>
        <w:t>Stávající provozovatel, společnost PPT Potrubní technika Plzeň (dále jako „PPT“), je v současné době v režimu prodlouženého výkonu licencované činnosti – výroby tepla, neboť předchozí vedení města Holýšov v dostatečném předstihu nezahájilo přípravu a vlastní realizaci Výběrového řízení na nového provozovatele zdroje a dodavatele tepla na patě objektu pro město Holýšov. Na základě rozhodnutí ERÚ byla prodloužena doba výkonu licencovaného subjektu (společnosti PPT) do 30.</w:t>
      </w:r>
      <w:r w:rsidR="007E3C15">
        <w:rPr>
          <w:szCs w:val="24"/>
        </w:rPr>
        <w:t>9</w:t>
      </w:r>
      <w:r w:rsidRPr="00F95AAD">
        <w:rPr>
          <w:szCs w:val="24"/>
        </w:rPr>
        <w:t>.2016</w:t>
      </w:r>
      <w:r w:rsidR="00544CA2" w:rsidRPr="00F95AAD">
        <w:rPr>
          <w:szCs w:val="24"/>
        </w:rPr>
        <w:t>;</w:t>
      </w:r>
    </w:p>
    <w:p w:rsidR="00544CA2" w:rsidRPr="00F95AAD" w:rsidRDefault="00AB38DE" w:rsidP="00AB38DE">
      <w:pPr>
        <w:pStyle w:val="MainText"/>
        <w:numPr>
          <w:ilvl w:val="0"/>
          <w:numId w:val="28"/>
        </w:numPr>
        <w:rPr>
          <w:szCs w:val="24"/>
        </w:rPr>
      </w:pPr>
      <w:r w:rsidRPr="00F95AAD">
        <w:rPr>
          <w:szCs w:val="24"/>
        </w:rPr>
        <w:t xml:space="preserve">Na základě právního rozboru administrátora Výběrového řízení Advokátní kanceláře Janstová, Smetana &amp; Nevečeřal </w:t>
      </w:r>
      <w:r w:rsidR="00F95AAD">
        <w:rPr>
          <w:szCs w:val="24"/>
        </w:rPr>
        <w:t>pro řešení projektu Holýšov</w:t>
      </w:r>
      <w:r w:rsidRPr="00F95AAD">
        <w:rPr>
          <w:szCs w:val="24"/>
        </w:rPr>
        <w:t xml:space="preserve"> zastoupen</w:t>
      </w:r>
      <w:r w:rsidR="00F95AAD">
        <w:rPr>
          <w:szCs w:val="24"/>
        </w:rPr>
        <w:t>ou</w:t>
      </w:r>
      <w:r w:rsidRPr="00F95AAD">
        <w:rPr>
          <w:szCs w:val="24"/>
        </w:rPr>
        <w:t xml:space="preserve"> JUDr. Tomášem Nevečeřalem, bylo jednoznačně stanoveno, že výběr nového provozovatele tepelného zdroje a dodavatele tepla na patě objektu stávající kotelny, </w:t>
      </w:r>
      <w:r w:rsidRPr="00F95AAD">
        <w:rPr>
          <w:b/>
          <w:szCs w:val="24"/>
        </w:rPr>
        <w:t xml:space="preserve">musí být vybrán v souladu </w:t>
      </w:r>
      <w:r w:rsidRPr="00F95AAD">
        <w:rPr>
          <w:szCs w:val="24"/>
        </w:rPr>
        <w:t>s ustanoveními zákona č. 137/2006 Sb., o veřejných zakázkách, ve znění pozdějších předpisů, účinných od 1. ledna 2016</w:t>
      </w:r>
      <w:r w:rsidR="00544CA2" w:rsidRPr="00F95AAD">
        <w:rPr>
          <w:szCs w:val="24"/>
        </w:rPr>
        <w:t>;</w:t>
      </w:r>
      <w:r w:rsidR="00257EFB" w:rsidRPr="00F95AAD">
        <w:rPr>
          <w:szCs w:val="24"/>
        </w:rPr>
        <w:t xml:space="preserve"> Není tedy možné formálně připustit jiné řešení, než výběr nového provozovatele/dodavatele realizovat formou veřejného </w:t>
      </w:r>
      <w:r w:rsidR="00F95AAD" w:rsidRPr="00F95AAD">
        <w:rPr>
          <w:szCs w:val="24"/>
        </w:rPr>
        <w:t>výběrového</w:t>
      </w:r>
      <w:r w:rsidR="00257EFB" w:rsidRPr="00F95AAD">
        <w:rPr>
          <w:szCs w:val="24"/>
        </w:rPr>
        <w:t xml:space="preserve"> řízení;</w:t>
      </w:r>
    </w:p>
    <w:p w:rsidR="00257EFB" w:rsidRPr="00F95AAD" w:rsidRDefault="00257EFB" w:rsidP="00257EFB">
      <w:pPr>
        <w:pStyle w:val="MainText"/>
        <w:numPr>
          <w:ilvl w:val="0"/>
          <w:numId w:val="28"/>
        </w:numPr>
        <w:rPr>
          <w:szCs w:val="24"/>
        </w:rPr>
      </w:pPr>
      <w:r w:rsidRPr="00F95AAD">
        <w:rPr>
          <w:szCs w:val="24"/>
        </w:rPr>
        <w:t>Stávající provozní režim tepelného hospodářství je realizován ve spolupráci mezi držitelem licence, společností PPT a městskou společnosti MTBS, s.r.o. (dále jen „MTBS“), kdy MTBS  provozuje tepelné zdroje v majetku Města Holýšov a společnosti PPT Potrubní technika Plzeň. MTBS dále zajišťuje legislativní servis dle platných norem, vyhlášek a nařízení vlády o provozu tepelných zařízení. Ve skutečnosti tak veškerých technický servis a zajištění řádného provozu je realiz</w:t>
      </w:r>
      <w:r w:rsidR="00F95AAD">
        <w:rPr>
          <w:szCs w:val="24"/>
        </w:rPr>
        <w:t>ován přímo městskou firmou MTBS;</w:t>
      </w:r>
    </w:p>
    <w:p w:rsidR="00220C4E" w:rsidRPr="00F95AAD" w:rsidRDefault="00257EFB" w:rsidP="00257EFB">
      <w:pPr>
        <w:pStyle w:val="MainText"/>
        <w:numPr>
          <w:ilvl w:val="0"/>
          <w:numId w:val="28"/>
        </w:numPr>
        <w:rPr>
          <w:szCs w:val="24"/>
        </w:rPr>
      </w:pPr>
      <w:r w:rsidRPr="00F95AAD">
        <w:rPr>
          <w:szCs w:val="24"/>
        </w:rPr>
        <w:t>Vyrobená tepelná energie, obsažená v teplonosném médiu (vodě), se z centrálních zdrojů tepla rozvádí primárním potrubím do domovních předávacích stanic, nebo přímo do vytápěných objektů. Předávací stanice je zařízení sloužící k přenosu tepelné energie z primárního do sekundárního rozvodu. Provoz TH zajišťuje dodávku tepelné energie pro účely vytápění ÚT (ústřední topení) a výrobu teplé užitkové vody (TUV) pro sídliště Pod Makovým vrchem a sídliště Na Stráni.</w:t>
      </w:r>
    </w:p>
    <w:p w:rsidR="00257EFB" w:rsidRPr="00F95AAD" w:rsidRDefault="00257EFB" w:rsidP="00257EFB">
      <w:pPr>
        <w:pStyle w:val="MainText"/>
        <w:numPr>
          <w:ilvl w:val="0"/>
          <w:numId w:val="28"/>
        </w:numPr>
        <w:rPr>
          <w:szCs w:val="24"/>
        </w:rPr>
      </w:pPr>
      <w:r w:rsidRPr="00F95AAD">
        <w:rPr>
          <w:szCs w:val="24"/>
        </w:rPr>
        <w:t xml:space="preserve">Kotelna v sídlišti Pod Makovým vrchem č. p. 582 byla zrekonstruována v roce 2011, instalovaný tepelný výkon zařízení je </w:t>
      </w:r>
      <w:r w:rsidR="00A61A87">
        <w:rPr>
          <w:szCs w:val="24"/>
        </w:rPr>
        <w:t>3 900</w:t>
      </w:r>
      <w:r w:rsidRPr="00F95AAD">
        <w:rPr>
          <w:szCs w:val="24"/>
        </w:rPr>
        <w:t xml:space="preserve"> kW, a je v majetku PPT Potrubní technika Plzeň. Dle aktuálních informací ze dne 15.3.2016 </w:t>
      </w:r>
      <w:r w:rsidR="00F95AAD" w:rsidRPr="00F95AAD">
        <w:rPr>
          <w:szCs w:val="24"/>
        </w:rPr>
        <w:t xml:space="preserve">společnost PPT </w:t>
      </w:r>
      <w:r w:rsidR="00F95AAD" w:rsidRPr="00F95AAD">
        <w:rPr>
          <w:b/>
          <w:szCs w:val="24"/>
        </w:rPr>
        <w:t>nereflektovala na nabídku města k zahájení jednání o odkoupení instalovaných kotlů, proto pro další úvahy o přípravě zadávacích podmínek je již pouze jediným předpokladem instalace nové technologie ve stávajícím objektu kotelny.</w:t>
      </w:r>
      <w:r w:rsidR="00F95AAD" w:rsidRPr="00F95AAD">
        <w:rPr>
          <w:szCs w:val="24"/>
        </w:rPr>
        <w:t xml:space="preserve"> </w:t>
      </w:r>
    </w:p>
    <w:p w:rsidR="00544CA2" w:rsidRDefault="00F24306" w:rsidP="00544CA2">
      <w:pPr>
        <w:pStyle w:val="MainText"/>
        <w:numPr>
          <w:ilvl w:val="0"/>
          <w:numId w:val="28"/>
        </w:numPr>
        <w:rPr>
          <w:szCs w:val="24"/>
        </w:rPr>
      </w:pPr>
      <w:r>
        <w:rPr>
          <w:szCs w:val="24"/>
        </w:rPr>
        <w:t>Dle podkladových informací je stávající objekt kotelny dostatečně dimenzovaný na paralelní výstavbu nové technologie</w:t>
      </w:r>
      <w:r w:rsidR="00544CA2" w:rsidRPr="00F95AAD">
        <w:rPr>
          <w:szCs w:val="24"/>
        </w:rPr>
        <w:t>;</w:t>
      </w:r>
    </w:p>
    <w:p w:rsidR="00F24306" w:rsidRDefault="00F24306" w:rsidP="00544CA2">
      <w:pPr>
        <w:pStyle w:val="MainText"/>
        <w:numPr>
          <w:ilvl w:val="0"/>
          <w:numId w:val="28"/>
        </w:numPr>
        <w:rPr>
          <w:szCs w:val="24"/>
        </w:rPr>
      </w:pPr>
      <w:r>
        <w:rPr>
          <w:szCs w:val="24"/>
        </w:rPr>
        <w:t>Uspořádání následného provozu tepelného hospodářství města Holýšov pro řádném ukončení výběrového řízení předpokládá následující strukturu:</w:t>
      </w:r>
    </w:p>
    <w:p w:rsidR="00F24306" w:rsidRPr="00F24306" w:rsidRDefault="00F24306" w:rsidP="00F24306">
      <w:pPr>
        <w:pStyle w:val="MainText"/>
        <w:numPr>
          <w:ilvl w:val="1"/>
          <w:numId w:val="28"/>
        </w:numPr>
        <w:rPr>
          <w:b/>
          <w:szCs w:val="24"/>
        </w:rPr>
      </w:pPr>
      <w:r w:rsidRPr="00F24306">
        <w:rPr>
          <w:b/>
          <w:szCs w:val="24"/>
        </w:rPr>
        <w:t>Provozovatel zdroje tepla</w:t>
      </w:r>
      <w:r>
        <w:rPr>
          <w:szCs w:val="24"/>
        </w:rPr>
        <w:t xml:space="preserve"> (s dodávkou tepla na patě objektu kotelny) bude vybrán na základě výsledků veřejného výběrového řízení. Předmětem výběrové řízení je výběr uchazeče, fakticky pak poskytovatele energetických služeb formou </w:t>
      </w:r>
      <w:r w:rsidRPr="00F24306">
        <w:rPr>
          <w:szCs w:val="24"/>
        </w:rPr>
        <w:t xml:space="preserve">služby Energy Contracting, kdy rekonstrukce zdroje tepla je zrealizována tzv. třetí stranou, kdy tato realizuje nejen kompletní investici na své náklady a to včetně následného provozu zdroje, ale také související administrativní opatření a nápravu stávající stavu. Z hlediska města </w:t>
      </w:r>
      <w:r w:rsidR="00F602DE">
        <w:rPr>
          <w:szCs w:val="24"/>
        </w:rPr>
        <w:t>Holýšov</w:t>
      </w:r>
      <w:r w:rsidRPr="00F24306">
        <w:rPr>
          <w:szCs w:val="24"/>
        </w:rPr>
        <w:t xml:space="preserve"> se fakticky jedná o situaci, kdy není nucen realizovat investici (tj. úspora investičních nákladů) a následně se nemusí starat o vlastní provoz (administrativa, servis, údržba apod.). Veškeré provedené investice a následné služby jsou fakticky spláceny pouze v ceně tepla.</w:t>
      </w:r>
      <w:r>
        <w:rPr>
          <w:szCs w:val="24"/>
        </w:rPr>
        <w:t xml:space="preserve"> Vzhledem k předpokládanému akcentu na vysokou účinnost výroby tepla a sledovaného parametru ÚPE (úspory primárních paliv), lze </w:t>
      </w:r>
      <w:r w:rsidRPr="00F24306">
        <w:rPr>
          <w:b/>
          <w:szCs w:val="24"/>
        </w:rPr>
        <w:t>r</w:t>
      </w:r>
      <w:r>
        <w:rPr>
          <w:b/>
          <w:szCs w:val="24"/>
        </w:rPr>
        <w:t xml:space="preserve">eálně </w:t>
      </w:r>
      <w:r w:rsidRPr="00F24306">
        <w:rPr>
          <w:b/>
          <w:szCs w:val="24"/>
        </w:rPr>
        <w:t xml:space="preserve">očekávat </w:t>
      </w:r>
      <w:r>
        <w:rPr>
          <w:b/>
          <w:szCs w:val="24"/>
        </w:rPr>
        <w:t>snížení c</w:t>
      </w:r>
      <w:r w:rsidRPr="00F24306">
        <w:rPr>
          <w:b/>
          <w:szCs w:val="24"/>
        </w:rPr>
        <w:t>en</w:t>
      </w:r>
      <w:r>
        <w:rPr>
          <w:b/>
          <w:szCs w:val="24"/>
        </w:rPr>
        <w:t>y</w:t>
      </w:r>
      <w:r w:rsidRPr="00F24306">
        <w:rPr>
          <w:b/>
          <w:szCs w:val="24"/>
        </w:rPr>
        <w:t xml:space="preserve"> te</w:t>
      </w:r>
      <w:r>
        <w:rPr>
          <w:b/>
          <w:szCs w:val="24"/>
        </w:rPr>
        <w:t>pla oproti skutečnosti topné sezóny 201</w:t>
      </w:r>
      <w:r w:rsidR="00F0562A">
        <w:rPr>
          <w:b/>
          <w:szCs w:val="24"/>
        </w:rPr>
        <w:t>7</w:t>
      </w:r>
      <w:r>
        <w:rPr>
          <w:b/>
          <w:szCs w:val="24"/>
        </w:rPr>
        <w:t>/201</w:t>
      </w:r>
      <w:r w:rsidR="00F0562A">
        <w:rPr>
          <w:b/>
          <w:szCs w:val="24"/>
        </w:rPr>
        <w:t>8</w:t>
      </w:r>
      <w:r>
        <w:rPr>
          <w:b/>
          <w:szCs w:val="24"/>
        </w:rPr>
        <w:t>.</w:t>
      </w:r>
    </w:p>
    <w:p w:rsidR="00F46069" w:rsidRPr="00F46069" w:rsidRDefault="00F24306" w:rsidP="00F24306">
      <w:pPr>
        <w:pStyle w:val="MainText"/>
        <w:numPr>
          <w:ilvl w:val="1"/>
          <w:numId w:val="28"/>
        </w:numPr>
        <w:rPr>
          <w:b/>
          <w:szCs w:val="24"/>
        </w:rPr>
      </w:pPr>
      <w:r>
        <w:rPr>
          <w:szCs w:val="24"/>
        </w:rPr>
        <w:t xml:space="preserve">Provozovatel </w:t>
      </w:r>
      <w:r w:rsidR="00F46069">
        <w:rPr>
          <w:szCs w:val="24"/>
        </w:rPr>
        <w:t>distribuční sítě tepla (fakticky pak dodavatel tepla pro jednotlivé koncové odběratele) bude nadále společnost MTBS, která po ustavení nové struktury rozdělení kompetencí mezi provozovatele zdroje a provozovatele distribuční sítě (teplovody) se bude nadále primárně soustředit na zajištění řádného provozu primárních i sekundárních sítí CZT a jejich servis a údržbu. Sekundárně pak bude prioritou rozšiřování sítí CZT a získávání nových odběratelů, případně pak zajištění dotačního financování na rekonstrukce stávajících rozvodů tepla.</w:t>
      </w:r>
    </w:p>
    <w:p w:rsidR="00F46069" w:rsidRPr="00F46069" w:rsidRDefault="00F46069" w:rsidP="00F46069">
      <w:pPr>
        <w:pStyle w:val="MainText"/>
        <w:numPr>
          <w:ilvl w:val="0"/>
          <w:numId w:val="28"/>
        </w:numPr>
        <w:rPr>
          <w:b/>
          <w:szCs w:val="24"/>
        </w:rPr>
      </w:pPr>
      <w:r>
        <w:rPr>
          <w:szCs w:val="24"/>
        </w:rPr>
        <w:t>Výše uvedené rozdělení kompetencí a rolí v rámci zajištění výroby a distribuce tepla v městě Holýšově je komfortní z hlediska zákonných podmínek kladených na procesní stránku výběrových řízení, stejně tak umožní restrukturalizaci stávajícího fungování společnosti MTBS.</w:t>
      </w:r>
    </w:p>
    <w:p w:rsidR="00F24306" w:rsidRDefault="00F46069" w:rsidP="00F46069">
      <w:pPr>
        <w:pStyle w:val="MainText"/>
        <w:numPr>
          <w:ilvl w:val="0"/>
          <w:numId w:val="28"/>
        </w:numPr>
        <w:rPr>
          <w:b/>
          <w:szCs w:val="24"/>
        </w:rPr>
      </w:pPr>
      <w:r>
        <w:rPr>
          <w:szCs w:val="24"/>
        </w:rPr>
        <w:t>Systémové řešení ukončení činnosti stávajícího licencovaného provozovatele zdroje, s</w:t>
      </w:r>
      <w:r w:rsidR="005E57B5">
        <w:rPr>
          <w:szCs w:val="24"/>
        </w:rPr>
        <w:t xml:space="preserve">polečnosti PPT, musí být paralelně připravováno po dobu realizace výběrového řízení na nového provozovatele zdroje. Vzhledem ke skutečnosti, že společnost PPT odmítá jednat o odprodeji stávající kotelní techniky městu tak, aby bylo dosaženo rovných podmínek pro uchazeče v připravovaném výběrovém řízení, je nutné technické řešení směrovat na výstavbu nového zdroje prostřednictvím EC kontraktu ve volných prostorách stávající kotelny. Po ukončení smluvního období provozovatele PPT, požadovat vyklizení prostor a odvoz majetku společnosti PPT z objektu kotelny. Problematiku přechodného období doporučujeme řešit formou mobilních (kontejnerových) kotelen tak, aby </w:t>
      </w:r>
      <w:r w:rsidR="005E57B5">
        <w:rPr>
          <w:b/>
          <w:szCs w:val="24"/>
        </w:rPr>
        <w:t>v žádném případě nedošlo k výpadkům dodávek tepla konečným odběratelům.</w:t>
      </w:r>
    </w:p>
    <w:p w:rsidR="005E57B5" w:rsidRPr="00F24306" w:rsidRDefault="005E57B5" w:rsidP="005E57B5">
      <w:pPr>
        <w:pStyle w:val="MainText"/>
        <w:ind w:left="765"/>
        <w:rPr>
          <w:b/>
          <w:szCs w:val="24"/>
        </w:rPr>
      </w:pPr>
    </w:p>
    <w:p w:rsidR="00713087" w:rsidRPr="00F95AAD" w:rsidRDefault="005E57B5" w:rsidP="002D05C6">
      <w:pPr>
        <w:pStyle w:val="MainText"/>
        <w:keepNext/>
        <w:numPr>
          <w:ilvl w:val="0"/>
          <w:numId w:val="21"/>
        </w:numPr>
        <w:spacing w:before="240"/>
        <w:ind w:left="714" w:hanging="357"/>
        <w:rPr>
          <w:b/>
          <w:szCs w:val="24"/>
          <w:u w:val="single"/>
        </w:rPr>
      </w:pPr>
      <w:r>
        <w:rPr>
          <w:b/>
          <w:szCs w:val="24"/>
          <w:u w:val="single"/>
        </w:rPr>
        <w:t xml:space="preserve">Technický popis tepelného hospodářství </w:t>
      </w:r>
    </w:p>
    <w:p w:rsidR="005E57B5" w:rsidRPr="005E57B5" w:rsidRDefault="005E57B5" w:rsidP="005E57B5">
      <w:pPr>
        <w:pStyle w:val="MainText"/>
        <w:rPr>
          <w:szCs w:val="24"/>
        </w:rPr>
      </w:pPr>
      <w:r w:rsidRPr="005E57B5">
        <w:rPr>
          <w:szCs w:val="24"/>
        </w:rPr>
        <w:t xml:space="preserve">Soustava CZT je formálně rozdělena mezi dva provozovatele – provozovatele zdroje tepla (soukromá společnost „PPT POTRUBNÍ TECHNIKA s.r.o.“) a provozovatele distribuční soustavy tepla (městská společnost „Městské technické a bytové středisko Holýšov, s.r.o.“). </w:t>
      </w:r>
    </w:p>
    <w:p w:rsidR="005E57B5" w:rsidRPr="005E57B5" w:rsidRDefault="005E57B5" w:rsidP="005E57B5">
      <w:pPr>
        <w:pStyle w:val="MainText"/>
        <w:rPr>
          <w:szCs w:val="24"/>
        </w:rPr>
      </w:pPr>
      <w:r w:rsidRPr="005E57B5">
        <w:rPr>
          <w:szCs w:val="24"/>
        </w:rPr>
        <w:t>Teplovodní plynová kotelna je provozována v automatickém režimu s občasnou obsluhou, kterou zajišťují pracovníci městské společnosti. Městská společnost zároveň zajišťuje servisní úkony pro zdroj včetně provádění revizí zařízení elektro, plynu a komínových těles, a to na základě servisní smlouvy. Kotelna je provozována s účinností cca 92%.</w:t>
      </w:r>
    </w:p>
    <w:p w:rsidR="005E57B5" w:rsidRPr="005E57B5" w:rsidRDefault="005E57B5" w:rsidP="005E57B5">
      <w:pPr>
        <w:pStyle w:val="MainText"/>
        <w:rPr>
          <w:szCs w:val="24"/>
        </w:rPr>
      </w:pPr>
      <w:r w:rsidRPr="005E57B5">
        <w:rPr>
          <w:szCs w:val="24"/>
        </w:rPr>
        <w:t>Množství tepla vyrobeného ve zdroji je měřeno patním kalorimetrem, na základě kterého je fakturována měsíční dodávka tepla do distribuční soustavy. Provozovatel distribuční soustavy pak zajišťuje distribuci tepla na paty objektů odběratelů, kde je místně připravována TV.</w:t>
      </w:r>
    </w:p>
    <w:p w:rsidR="00544CA2" w:rsidRDefault="005E57B5" w:rsidP="005E57B5">
      <w:pPr>
        <w:pStyle w:val="MainText"/>
        <w:rPr>
          <w:szCs w:val="24"/>
        </w:rPr>
      </w:pPr>
      <w:r w:rsidRPr="005E57B5">
        <w:rPr>
          <w:szCs w:val="24"/>
        </w:rPr>
        <w:t>MTBS má v majetku téměř 1 950 m předizolovaných topných kanálů, které byly zrekonstruovány v roce 2001 a jsou rozděleny do tří větví „A“, „B“, „C“. Na větvi „A“ je 19 objektů, na větvi „B“ 4 objekty a na větvi „C“ 6 objektů. Na patách objektů jsou osazena fakturační měřidla spotřeby, která jsou pravidelně kontrolována a v předepsaných intervalech kalibrována v akreditovaných zkušebnách.</w:t>
      </w:r>
    </w:p>
    <w:p w:rsidR="00A61A87" w:rsidRPr="00A61A87" w:rsidRDefault="00A61A87" w:rsidP="005E57B5">
      <w:pPr>
        <w:pStyle w:val="TableHeading"/>
        <w:rPr>
          <w:szCs w:val="24"/>
        </w:rPr>
      </w:pPr>
      <w:r w:rsidRPr="00A61A87">
        <w:t>Základní údaje o CZT</w:t>
      </w:r>
      <w:r w:rsidRPr="003A1395">
        <w:t xml:space="preserve"> </w:t>
      </w:r>
    </w:p>
    <w:tbl>
      <w:tblPr>
        <w:tblStyle w:val="Mkatabulky"/>
        <w:tblW w:w="0" w:type="auto"/>
        <w:tblLook w:val="04A0" w:firstRow="1" w:lastRow="0" w:firstColumn="1" w:lastColumn="0" w:noHBand="0" w:noVBand="1"/>
      </w:tblPr>
      <w:tblGrid>
        <w:gridCol w:w="3936"/>
        <w:gridCol w:w="5276"/>
      </w:tblGrid>
      <w:tr w:rsidR="00A61A87" w:rsidTr="00A61A87">
        <w:tc>
          <w:tcPr>
            <w:tcW w:w="3936" w:type="dxa"/>
            <w:vAlign w:val="center"/>
          </w:tcPr>
          <w:p w:rsidR="00A61A87" w:rsidRPr="00B83B7F" w:rsidRDefault="00A61A87" w:rsidP="00A61A87">
            <w:r w:rsidRPr="00B83B7F">
              <w:t>Provozovatel zdroje tepla</w:t>
            </w:r>
          </w:p>
        </w:tc>
        <w:tc>
          <w:tcPr>
            <w:tcW w:w="5276" w:type="dxa"/>
          </w:tcPr>
          <w:p w:rsidR="00A61A87" w:rsidRPr="00B83B7F" w:rsidRDefault="00A61A87" w:rsidP="00D436D8">
            <w:r w:rsidRPr="00B83B7F">
              <w:t>PPT POTRUBNÍ TECHNIKA s.r.o.</w:t>
            </w:r>
          </w:p>
        </w:tc>
      </w:tr>
      <w:tr w:rsidR="00A61A87" w:rsidTr="00A61A87">
        <w:tc>
          <w:tcPr>
            <w:tcW w:w="3936" w:type="dxa"/>
            <w:vAlign w:val="center"/>
          </w:tcPr>
          <w:p w:rsidR="00A61A87" w:rsidRPr="00B83B7F" w:rsidRDefault="00A61A87" w:rsidP="00A61A87">
            <w:r>
              <w:t>Licence pro výrobu tepelné energie</w:t>
            </w:r>
          </w:p>
        </w:tc>
        <w:tc>
          <w:tcPr>
            <w:tcW w:w="5276" w:type="dxa"/>
          </w:tcPr>
          <w:p w:rsidR="00A61A87" w:rsidRPr="00B83B7F" w:rsidRDefault="00A61A87" w:rsidP="00D436D8">
            <w:r w:rsidRPr="00B83B7F">
              <w:t>310202165</w:t>
            </w:r>
          </w:p>
        </w:tc>
      </w:tr>
      <w:tr w:rsidR="00A61A87" w:rsidTr="00A61A87">
        <w:tc>
          <w:tcPr>
            <w:tcW w:w="3936" w:type="dxa"/>
            <w:vAlign w:val="center"/>
          </w:tcPr>
          <w:p w:rsidR="00A61A87" w:rsidRDefault="00A61A87" w:rsidP="00A61A87">
            <w:r>
              <w:t>Lokalita zdroje</w:t>
            </w:r>
          </w:p>
        </w:tc>
        <w:tc>
          <w:tcPr>
            <w:tcW w:w="5276" w:type="dxa"/>
          </w:tcPr>
          <w:p w:rsidR="00A61A87" w:rsidRDefault="00A61A87" w:rsidP="00D436D8">
            <w:r w:rsidRPr="00B83B7F">
              <w:t>St. 800</w:t>
            </w:r>
            <w:r>
              <w:t>, k. ú. Holýšov</w:t>
            </w:r>
          </w:p>
        </w:tc>
      </w:tr>
      <w:tr w:rsidR="00A61A87" w:rsidTr="00A61A87">
        <w:tc>
          <w:tcPr>
            <w:tcW w:w="3936" w:type="dxa"/>
            <w:vAlign w:val="center"/>
          </w:tcPr>
          <w:p w:rsidR="00A61A87" w:rsidRPr="00B83B7F" w:rsidRDefault="00A61A87" w:rsidP="00A61A87">
            <w:r>
              <w:t>Druh zdroje</w:t>
            </w:r>
          </w:p>
        </w:tc>
        <w:tc>
          <w:tcPr>
            <w:tcW w:w="5276" w:type="dxa"/>
          </w:tcPr>
          <w:p w:rsidR="00A61A87" w:rsidRPr="00B83B7F" w:rsidRDefault="00A61A87" w:rsidP="00D436D8">
            <w:r>
              <w:t>Teplovodní plynová kotelna</w:t>
            </w:r>
          </w:p>
        </w:tc>
      </w:tr>
      <w:tr w:rsidR="00A61A87" w:rsidTr="00A61A87">
        <w:tc>
          <w:tcPr>
            <w:tcW w:w="3936" w:type="dxa"/>
            <w:vAlign w:val="center"/>
          </w:tcPr>
          <w:p w:rsidR="00A61A87" w:rsidRDefault="00A61A87" w:rsidP="00A61A87">
            <w:r>
              <w:t>Instalovaný výkon zdroje</w:t>
            </w:r>
          </w:p>
        </w:tc>
        <w:tc>
          <w:tcPr>
            <w:tcW w:w="5276" w:type="dxa"/>
          </w:tcPr>
          <w:p w:rsidR="00A61A87" w:rsidRDefault="00A61A87" w:rsidP="00D436D8">
            <w:r>
              <w:t>3,9 MWt</w:t>
            </w:r>
          </w:p>
        </w:tc>
      </w:tr>
      <w:tr w:rsidR="00A61A87" w:rsidTr="00A61A87">
        <w:tc>
          <w:tcPr>
            <w:tcW w:w="3936" w:type="dxa"/>
            <w:vAlign w:val="center"/>
          </w:tcPr>
          <w:p w:rsidR="00A61A87" w:rsidRDefault="00A61A87" w:rsidP="00A61A87">
            <w:r>
              <w:t>Počet a typ instalovaných kotlů</w:t>
            </w:r>
          </w:p>
        </w:tc>
        <w:tc>
          <w:tcPr>
            <w:tcW w:w="5276" w:type="dxa"/>
          </w:tcPr>
          <w:p w:rsidR="00A61A87" w:rsidRDefault="00A61A87" w:rsidP="00D436D8">
            <w:r>
              <w:t xml:space="preserve">2 x Viessmann Vitoplex 200; </w:t>
            </w:r>
          </w:p>
          <w:p w:rsidR="00A61A87" w:rsidRDefault="00A61A87" w:rsidP="00D436D8">
            <w:r>
              <w:t>2 x 1950 kW</w:t>
            </w:r>
          </w:p>
        </w:tc>
      </w:tr>
      <w:tr w:rsidR="00A61A87" w:rsidTr="00A61A87">
        <w:tc>
          <w:tcPr>
            <w:tcW w:w="3936" w:type="dxa"/>
            <w:vAlign w:val="center"/>
          </w:tcPr>
          <w:p w:rsidR="00A61A87" w:rsidRPr="00B83B7F" w:rsidRDefault="00A61A87" w:rsidP="00A61A87">
            <w:r>
              <w:t>Druh zdroje</w:t>
            </w:r>
          </w:p>
        </w:tc>
        <w:tc>
          <w:tcPr>
            <w:tcW w:w="5276" w:type="dxa"/>
          </w:tcPr>
          <w:p w:rsidR="00A61A87" w:rsidRPr="00B83B7F" w:rsidRDefault="00A61A87" w:rsidP="00D436D8">
            <w:r>
              <w:t>Teplovodní plynová kotelna</w:t>
            </w:r>
          </w:p>
        </w:tc>
      </w:tr>
      <w:tr w:rsidR="00A61A87" w:rsidTr="00A61A87">
        <w:tc>
          <w:tcPr>
            <w:tcW w:w="3936" w:type="dxa"/>
            <w:vAlign w:val="center"/>
          </w:tcPr>
          <w:p w:rsidR="00A61A87" w:rsidRPr="00B83B7F" w:rsidRDefault="00A61A87" w:rsidP="00A61A87">
            <w:r>
              <w:t>Provozovatel rozvodu tepelné energie</w:t>
            </w:r>
          </w:p>
        </w:tc>
        <w:tc>
          <w:tcPr>
            <w:tcW w:w="5276" w:type="dxa"/>
          </w:tcPr>
          <w:p w:rsidR="00A61A87" w:rsidRPr="00B83B7F" w:rsidRDefault="00A61A87" w:rsidP="00D436D8">
            <w:r>
              <w:t>Městské technické a bytové středisko Holýšov, s.r.o.</w:t>
            </w:r>
          </w:p>
        </w:tc>
      </w:tr>
      <w:tr w:rsidR="00A61A87" w:rsidTr="00A61A87">
        <w:tc>
          <w:tcPr>
            <w:tcW w:w="3936" w:type="dxa"/>
            <w:vAlign w:val="center"/>
          </w:tcPr>
          <w:p w:rsidR="00A61A87" w:rsidRPr="00B83B7F" w:rsidRDefault="00A61A87" w:rsidP="00A61A87">
            <w:r>
              <w:t>Licence pro rozvod tepelné energie</w:t>
            </w:r>
          </w:p>
        </w:tc>
        <w:tc>
          <w:tcPr>
            <w:tcW w:w="5276" w:type="dxa"/>
          </w:tcPr>
          <w:p w:rsidR="00A61A87" w:rsidRPr="00B83B7F" w:rsidRDefault="00A61A87" w:rsidP="00D436D8">
            <w:r w:rsidRPr="00B83B7F">
              <w:t>320202556</w:t>
            </w:r>
          </w:p>
        </w:tc>
      </w:tr>
      <w:tr w:rsidR="00A61A87" w:rsidTr="00A61A87">
        <w:tc>
          <w:tcPr>
            <w:tcW w:w="3936" w:type="dxa"/>
            <w:vAlign w:val="center"/>
          </w:tcPr>
          <w:p w:rsidR="00A61A87" w:rsidRPr="00B83B7F" w:rsidRDefault="00A61A87" w:rsidP="00A61A87">
            <w:r>
              <w:t>Systém rozvodu tepla</w:t>
            </w:r>
          </w:p>
        </w:tc>
        <w:tc>
          <w:tcPr>
            <w:tcW w:w="5276" w:type="dxa"/>
          </w:tcPr>
          <w:p w:rsidR="00A61A87" w:rsidRPr="00B83B7F" w:rsidRDefault="00A61A87" w:rsidP="00D436D8">
            <w:r>
              <w:t>Teplovodní dvoutrubní, místní příprava TV</w:t>
            </w:r>
          </w:p>
        </w:tc>
      </w:tr>
      <w:tr w:rsidR="00A61A87" w:rsidTr="00A61A87">
        <w:tc>
          <w:tcPr>
            <w:tcW w:w="3936" w:type="dxa"/>
            <w:vAlign w:val="center"/>
          </w:tcPr>
          <w:p w:rsidR="00A61A87" w:rsidRDefault="00A61A87" w:rsidP="00A61A87">
            <w:r>
              <w:t>Jmenovitý tepelný spád soustavy</w:t>
            </w:r>
          </w:p>
        </w:tc>
        <w:tc>
          <w:tcPr>
            <w:tcW w:w="5276" w:type="dxa"/>
          </w:tcPr>
          <w:p w:rsidR="00A61A87" w:rsidRDefault="00A61A87" w:rsidP="00D436D8">
            <w:r>
              <w:t>90/70 °C</w:t>
            </w:r>
          </w:p>
        </w:tc>
      </w:tr>
      <w:tr w:rsidR="00A61A87" w:rsidTr="00A61A87">
        <w:tc>
          <w:tcPr>
            <w:tcW w:w="3936" w:type="dxa"/>
            <w:vAlign w:val="center"/>
          </w:tcPr>
          <w:p w:rsidR="00A61A87" w:rsidRPr="00B83B7F" w:rsidRDefault="00A61A87" w:rsidP="00A61A87">
            <w:r>
              <w:t>Přenosová kapacita sítě</w:t>
            </w:r>
          </w:p>
        </w:tc>
        <w:tc>
          <w:tcPr>
            <w:tcW w:w="5276" w:type="dxa"/>
          </w:tcPr>
          <w:p w:rsidR="00A61A87" w:rsidRPr="00B83B7F" w:rsidRDefault="00A61A87" w:rsidP="00D436D8">
            <w:r>
              <w:t>4 600 kW</w:t>
            </w:r>
          </w:p>
        </w:tc>
      </w:tr>
      <w:tr w:rsidR="00A61A87" w:rsidTr="00A61A87">
        <w:tc>
          <w:tcPr>
            <w:tcW w:w="3936" w:type="dxa"/>
            <w:vAlign w:val="center"/>
          </w:tcPr>
          <w:p w:rsidR="00A61A87" w:rsidRPr="00B83B7F" w:rsidRDefault="00A61A87" w:rsidP="00A61A87">
            <w:r>
              <w:t>Rozsah sítě</w:t>
            </w:r>
          </w:p>
        </w:tc>
        <w:tc>
          <w:tcPr>
            <w:tcW w:w="5276" w:type="dxa"/>
          </w:tcPr>
          <w:p w:rsidR="00A61A87" w:rsidRPr="00B83B7F" w:rsidRDefault="00A61A87" w:rsidP="00D436D8">
            <w:r>
              <w:t>1 950 m</w:t>
            </w:r>
          </w:p>
        </w:tc>
      </w:tr>
      <w:tr w:rsidR="00A61A87" w:rsidTr="00A61A87">
        <w:tc>
          <w:tcPr>
            <w:tcW w:w="3936" w:type="dxa"/>
            <w:vAlign w:val="center"/>
          </w:tcPr>
          <w:p w:rsidR="00A61A87" w:rsidRPr="00B83B7F" w:rsidRDefault="00A61A87" w:rsidP="00A61A87">
            <w:r>
              <w:t>Roční objem tepla - dodávka</w:t>
            </w:r>
          </w:p>
        </w:tc>
        <w:tc>
          <w:tcPr>
            <w:tcW w:w="5276" w:type="dxa"/>
          </w:tcPr>
          <w:p w:rsidR="00A61A87" w:rsidRPr="00B83B7F" w:rsidRDefault="00A61A87" w:rsidP="00D436D8">
            <w:r>
              <w:t>22 000 GJ</w:t>
            </w:r>
          </w:p>
        </w:tc>
      </w:tr>
    </w:tbl>
    <w:p w:rsidR="00A61A87" w:rsidRDefault="00A61A87" w:rsidP="005E57B5">
      <w:pPr>
        <w:pStyle w:val="MainText"/>
        <w:rPr>
          <w:szCs w:val="24"/>
        </w:rPr>
      </w:pPr>
    </w:p>
    <w:p w:rsidR="00FE6AAF" w:rsidRPr="00014AFC" w:rsidRDefault="0030449C" w:rsidP="002832D0">
      <w:pPr>
        <w:pStyle w:val="TableHeading"/>
        <w:spacing w:line="288" w:lineRule="auto"/>
        <w:rPr>
          <w:rFonts w:ascii="Franklin Gothic Book" w:hAnsi="Franklin Gothic Book"/>
        </w:rPr>
      </w:pPr>
      <w:r>
        <w:t>Výroba tepla po jednotlivých měsících za roky 2016 a 2017</w:t>
      </w:r>
      <w:r w:rsidRPr="003A1395">
        <w:t xml:space="preserve"> </w:t>
      </w:r>
    </w:p>
    <w:tbl>
      <w:tblPr>
        <w:tblW w:w="9211" w:type="dxa"/>
        <w:tblInd w:w="55" w:type="dxa"/>
        <w:tblCellMar>
          <w:left w:w="70" w:type="dxa"/>
          <w:right w:w="70" w:type="dxa"/>
        </w:tblCellMar>
        <w:tblLook w:val="04A0" w:firstRow="1" w:lastRow="0" w:firstColumn="1" w:lastColumn="0" w:noHBand="0" w:noVBand="1"/>
      </w:tblPr>
      <w:tblGrid>
        <w:gridCol w:w="1046"/>
        <w:gridCol w:w="2060"/>
        <w:gridCol w:w="2060"/>
        <w:gridCol w:w="2060"/>
        <w:gridCol w:w="2060"/>
      </w:tblGrid>
      <w:tr w:rsidR="00FE6AAF" w:rsidRPr="00F77A63" w:rsidTr="003F7C52">
        <w:trPr>
          <w:trHeight w:val="615"/>
        </w:trPr>
        <w:tc>
          <w:tcPr>
            <w:tcW w:w="97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FE6AAF" w:rsidRPr="00F77A63" w:rsidRDefault="00FE6AAF" w:rsidP="003F7C52">
            <w:pPr>
              <w:spacing w:after="0" w:line="240" w:lineRule="auto"/>
              <w:jc w:val="center"/>
              <w:rPr>
                <w:rFonts w:eastAsia="Times New Roman"/>
                <w:b/>
                <w:bCs/>
                <w:color w:val="000000"/>
                <w:sz w:val="28"/>
                <w:szCs w:val="28"/>
                <w:lang w:eastAsia="cs-CZ"/>
              </w:rPr>
            </w:pPr>
            <w:r w:rsidRPr="00F77A63">
              <w:rPr>
                <w:rFonts w:eastAsia="Times New Roman"/>
                <w:b/>
                <w:bCs/>
                <w:color w:val="000000"/>
                <w:sz w:val="28"/>
                <w:szCs w:val="28"/>
                <w:lang w:eastAsia="cs-CZ"/>
              </w:rPr>
              <w:t>201</w:t>
            </w:r>
            <w:r>
              <w:rPr>
                <w:rFonts w:eastAsia="Times New Roman"/>
                <w:b/>
                <w:bCs/>
                <w:color w:val="000000"/>
                <w:sz w:val="28"/>
                <w:szCs w:val="28"/>
                <w:lang w:eastAsia="cs-CZ"/>
              </w:rPr>
              <w:t>6</w:t>
            </w:r>
          </w:p>
        </w:tc>
        <w:tc>
          <w:tcPr>
            <w:tcW w:w="2060" w:type="dxa"/>
            <w:tcBorders>
              <w:top w:val="single" w:sz="8" w:space="0" w:color="auto"/>
              <w:left w:val="nil"/>
              <w:bottom w:val="double" w:sz="6" w:space="0" w:color="auto"/>
              <w:right w:val="single" w:sz="4"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Výroba teplo (GJ)</w:t>
            </w:r>
          </w:p>
        </w:tc>
        <w:tc>
          <w:tcPr>
            <w:tcW w:w="2060" w:type="dxa"/>
            <w:tcBorders>
              <w:top w:val="single" w:sz="8" w:space="0" w:color="auto"/>
              <w:left w:val="nil"/>
              <w:bottom w:val="double" w:sz="6" w:space="0" w:color="auto"/>
              <w:right w:val="single" w:sz="4"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Průměrná venkovní teplota (°C)</w:t>
            </w:r>
          </w:p>
        </w:tc>
        <w:tc>
          <w:tcPr>
            <w:tcW w:w="2060" w:type="dxa"/>
            <w:tcBorders>
              <w:top w:val="single" w:sz="8" w:space="0" w:color="auto"/>
              <w:left w:val="nil"/>
              <w:bottom w:val="double" w:sz="6" w:space="0" w:color="auto"/>
              <w:right w:val="single" w:sz="4"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Počet topných dní - ÚT</w:t>
            </w:r>
          </w:p>
        </w:tc>
        <w:tc>
          <w:tcPr>
            <w:tcW w:w="2060" w:type="dxa"/>
            <w:tcBorders>
              <w:top w:val="single" w:sz="8" w:space="0" w:color="auto"/>
              <w:left w:val="nil"/>
              <w:bottom w:val="double" w:sz="6" w:space="0" w:color="auto"/>
              <w:right w:val="single" w:sz="8"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Počet topných dní - TUV</w:t>
            </w:r>
          </w:p>
        </w:tc>
      </w:tr>
      <w:tr w:rsidR="00FE6AAF" w:rsidRPr="00F77A63" w:rsidTr="003A3902">
        <w:trPr>
          <w:trHeight w:val="315"/>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Leden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w:t>
            </w:r>
            <w:r>
              <w:rPr>
                <w:rFonts w:eastAsia="Times New Roman"/>
                <w:color w:val="000000"/>
                <w:lang w:eastAsia="cs-CZ"/>
              </w:rPr>
              <w:t xml:space="preserve"> </w:t>
            </w:r>
            <w:r w:rsidRPr="00501408">
              <w:rPr>
                <w:rFonts w:eastAsia="Times New Roman"/>
                <w:color w:val="000000"/>
                <w:lang w:eastAsia="cs-CZ"/>
              </w:rPr>
              <w:t>623</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-0,29</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Únor</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w:t>
            </w:r>
            <w:r>
              <w:rPr>
                <w:rFonts w:eastAsia="Times New Roman"/>
                <w:color w:val="000000"/>
                <w:lang w:eastAsia="cs-CZ"/>
              </w:rPr>
              <w:t xml:space="preserve"> </w:t>
            </w:r>
            <w:r w:rsidRPr="00501408">
              <w:rPr>
                <w:rFonts w:eastAsia="Times New Roman"/>
                <w:color w:val="000000"/>
                <w:lang w:eastAsia="cs-CZ"/>
              </w:rPr>
              <w:t>926</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2,95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29</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29</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Březen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w:t>
            </w:r>
            <w:r>
              <w:rPr>
                <w:rFonts w:eastAsia="Times New Roman"/>
                <w:color w:val="000000"/>
                <w:lang w:eastAsia="cs-CZ"/>
              </w:rPr>
              <w:t xml:space="preserve"> </w:t>
            </w:r>
            <w:r w:rsidRPr="00501408">
              <w:rPr>
                <w:rFonts w:eastAsia="Times New Roman"/>
                <w:color w:val="000000"/>
                <w:lang w:eastAsia="cs-CZ"/>
              </w:rPr>
              <w:t>966</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3,48</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Duben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w:t>
            </w:r>
            <w:r>
              <w:rPr>
                <w:rFonts w:eastAsia="Times New Roman"/>
                <w:color w:val="000000"/>
                <w:lang w:eastAsia="cs-CZ"/>
              </w:rPr>
              <w:t xml:space="preserve"> </w:t>
            </w:r>
            <w:r w:rsidRPr="00501408">
              <w:rPr>
                <w:rFonts w:eastAsia="Times New Roman"/>
                <w:color w:val="000000"/>
                <w:lang w:eastAsia="cs-CZ"/>
              </w:rPr>
              <w:t>996</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7,23</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Květen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w:t>
            </w:r>
            <w:r>
              <w:rPr>
                <w:rFonts w:eastAsia="Times New Roman"/>
                <w:color w:val="000000"/>
                <w:lang w:eastAsia="cs-CZ"/>
              </w:rPr>
              <w:t xml:space="preserve"> </w:t>
            </w:r>
            <w:r w:rsidRPr="00501408">
              <w:rPr>
                <w:rFonts w:eastAsia="Times New Roman"/>
                <w:color w:val="000000"/>
                <w:lang w:eastAsia="cs-CZ"/>
              </w:rPr>
              <w:t>281</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13,1</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Červen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828</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18,9</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3A3902" w:rsidP="003A3902">
            <w:pPr>
              <w:spacing w:after="0" w:line="240" w:lineRule="auto"/>
              <w:jc w:val="center"/>
              <w:rPr>
                <w:rFonts w:eastAsia="Times New Roman"/>
                <w:color w:val="000000"/>
                <w:lang w:eastAsia="cs-CZ"/>
              </w:rPr>
            </w:pPr>
            <w:r>
              <w:rPr>
                <w:rFonts w:eastAsia="Times New Roman"/>
                <w:color w:val="000000"/>
                <w:lang w:eastAsia="cs-CZ"/>
              </w:rPr>
              <w:t>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Červenec</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810</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20,2</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3A3902" w:rsidP="003A3902">
            <w:pPr>
              <w:spacing w:after="0" w:line="240" w:lineRule="auto"/>
              <w:jc w:val="center"/>
              <w:rPr>
                <w:rFonts w:eastAsia="Times New Roman"/>
                <w:color w:val="000000"/>
                <w:lang w:eastAsia="cs-CZ"/>
              </w:rPr>
            </w:pPr>
            <w:r>
              <w:rPr>
                <w:rFonts w:eastAsia="Times New Roman"/>
                <w:color w:val="000000"/>
                <w:lang w:eastAsia="cs-CZ"/>
              </w:rPr>
              <w:t>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Srpen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771</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19,5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3A3902" w:rsidP="003A3902">
            <w:pPr>
              <w:spacing w:after="0" w:line="240" w:lineRule="auto"/>
              <w:jc w:val="center"/>
              <w:rPr>
                <w:rFonts w:eastAsia="Times New Roman"/>
                <w:color w:val="000000"/>
                <w:lang w:eastAsia="cs-CZ"/>
              </w:rPr>
            </w:pPr>
            <w:r>
              <w:rPr>
                <w:rFonts w:eastAsia="Times New Roman"/>
                <w:color w:val="000000"/>
                <w:lang w:eastAsia="cs-CZ"/>
              </w:rPr>
              <w:t>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Září</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804</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17,6</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10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Říjen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w:t>
            </w:r>
            <w:r>
              <w:rPr>
                <w:rFonts w:eastAsia="Times New Roman"/>
                <w:color w:val="000000"/>
                <w:lang w:eastAsia="cs-CZ"/>
              </w:rPr>
              <w:t xml:space="preserve"> </w:t>
            </w:r>
            <w:r w:rsidRPr="00501408">
              <w:rPr>
                <w:rFonts w:eastAsia="Times New Roman"/>
                <w:color w:val="000000"/>
                <w:lang w:eastAsia="cs-CZ"/>
              </w:rPr>
              <w:t>164</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8,5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A3902">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w:t>
            </w:r>
            <w:r>
              <w:rPr>
                <w:rFonts w:eastAsia="Times New Roman"/>
                <w:color w:val="000000"/>
                <w:lang w:eastAsia="cs-CZ"/>
              </w:rPr>
              <w:t xml:space="preserve"> </w:t>
            </w:r>
            <w:r w:rsidRPr="00501408">
              <w:rPr>
                <w:rFonts w:eastAsia="Times New Roman"/>
                <w:color w:val="000000"/>
                <w:lang w:eastAsia="cs-CZ"/>
              </w:rPr>
              <w:t>022</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2,1</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3A3902">
        <w:trPr>
          <w:trHeight w:val="315"/>
        </w:trPr>
        <w:tc>
          <w:tcPr>
            <w:tcW w:w="971" w:type="dxa"/>
            <w:tcBorders>
              <w:top w:val="nil"/>
              <w:left w:val="single" w:sz="8" w:space="0" w:color="auto"/>
              <w:bottom w:val="single" w:sz="8"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Prosinec</w:t>
            </w:r>
          </w:p>
        </w:tc>
        <w:tc>
          <w:tcPr>
            <w:tcW w:w="2060" w:type="dxa"/>
            <w:tcBorders>
              <w:top w:val="nil"/>
              <w:left w:val="nil"/>
              <w:bottom w:val="single" w:sz="8"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w:t>
            </w:r>
            <w:r>
              <w:rPr>
                <w:rFonts w:eastAsia="Times New Roman"/>
                <w:color w:val="000000"/>
                <w:lang w:eastAsia="cs-CZ"/>
              </w:rPr>
              <w:t xml:space="preserve"> </w:t>
            </w:r>
            <w:r w:rsidRPr="00501408">
              <w:rPr>
                <w:rFonts w:eastAsia="Times New Roman"/>
                <w:color w:val="000000"/>
                <w:lang w:eastAsia="cs-CZ"/>
              </w:rPr>
              <w:t>632</w:t>
            </w:r>
          </w:p>
        </w:tc>
        <w:tc>
          <w:tcPr>
            <w:tcW w:w="2060" w:type="dxa"/>
            <w:tcBorders>
              <w:top w:val="nil"/>
              <w:left w:val="nil"/>
              <w:bottom w:val="single" w:sz="8"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0,04</w:t>
            </w:r>
          </w:p>
        </w:tc>
        <w:tc>
          <w:tcPr>
            <w:tcW w:w="2060" w:type="dxa"/>
            <w:tcBorders>
              <w:top w:val="nil"/>
              <w:left w:val="nil"/>
              <w:bottom w:val="single" w:sz="8" w:space="0" w:color="auto"/>
              <w:right w:val="single" w:sz="4"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8" w:space="0" w:color="auto"/>
              <w:right w:val="single" w:sz="8" w:space="0" w:color="auto"/>
            </w:tcBorders>
            <w:shd w:val="clear" w:color="auto" w:fill="auto"/>
            <w:noWrap/>
            <w:vAlign w:val="center"/>
            <w:hideMark/>
          </w:tcPr>
          <w:p w:rsidR="00FE6AAF" w:rsidRPr="00501408" w:rsidRDefault="00FE6AAF" w:rsidP="003A3902">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F7C52">
        <w:trPr>
          <w:trHeight w:val="315"/>
        </w:trPr>
        <w:tc>
          <w:tcPr>
            <w:tcW w:w="971" w:type="dxa"/>
            <w:tcBorders>
              <w:top w:val="nil"/>
              <w:left w:val="single" w:sz="8" w:space="0" w:color="auto"/>
              <w:bottom w:val="single" w:sz="8"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b/>
                <w:bCs/>
                <w:color w:val="000000"/>
                <w:lang w:eastAsia="cs-CZ"/>
              </w:rPr>
            </w:pPr>
            <w:r w:rsidRPr="00F77A63">
              <w:rPr>
                <w:rFonts w:eastAsia="Times New Roman"/>
                <w:b/>
                <w:bCs/>
                <w:color w:val="000000"/>
                <w:lang w:eastAsia="cs-CZ"/>
              </w:rPr>
              <w:t>CELKEM</w:t>
            </w:r>
          </w:p>
        </w:tc>
        <w:tc>
          <w:tcPr>
            <w:tcW w:w="2060" w:type="dxa"/>
            <w:tcBorders>
              <w:top w:val="nil"/>
              <w:left w:val="nil"/>
              <w:bottom w:val="single" w:sz="8" w:space="0" w:color="auto"/>
              <w:right w:val="single" w:sz="8" w:space="0" w:color="auto"/>
            </w:tcBorders>
            <w:shd w:val="clear" w:color="auto" w:fill="auto"/>
            <w:noWrap/>
            <w:vAlign w:val="bottom"/>
            <w:hideMark/>
          </w:tcPr>
          <w:p w:rsidR="00FE6AAF" w:rsidRPr="00F77A63" w:rsidRDefault="00FE6AAF" w:rsidP="003F7C52">
            <w:pPr>
              <w:spacing w:after="0" w:line="240" w:lineRule="auto"/>
              <w:jc w:val="right"/>
              <w:rPr>
                <w:rFonts w:eastAsia="Times New Roman"/>
                <w:b/>
                <w:bCs/>
                <w:color w:val="000000"/>
                <w:lang w:eastAsia="cs-CZ"/>
              </w:rPr>
            </w:pPr>
            <w:r w:rsidRPr="00F77A63">
              <w:rPr>
                <w:rFonts w:eastAsia="Times New Roman"/>
                <w:b/>
                <w:bCs/>
                <w:color w:val="000000"/>
                <w:lang w:eastAsia="cs-CZ"/>
              </w:rPr>
              <w:t>2</w:t>
            </w:r>
            <w:r>
              <w:rPr>
                <w:rFonts w:eastAsia="Times New Roman"/>
                <w:b/>
                <w:bCs/>
                <w:color w:val="000000"/>
                <w:lang w:eastAsia="cs-CZ"/>
              </w:rPr>
              <w:t>4 823</w:t>
            </w:r>
          </w:p>
        </w:tc>
        <w:tc>
          <w:tcPr>
            <w:tcW w:w="2060" w:type="dxa"/>
            <w:tcBorders>
              <w:top w:val="nil"/>
              <w:left w:val="nil"/>
              <w:bottom w:val="nil"/>
              <w:right w:val="nil"/>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p>
        </w:tc>
        <w:tc>
          <w:tcPr>
            <w:tcW w:w="2060" w:type="dxa"/>
            <w:tcBorders>
              <w:top w:val="nil"/>
              <w:left w:val="nil"/>
              <w:bottom w:val="nil"/>
              <w:right w:val="nil"/>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p>
        </w:tc>
        <w:tc>
          <w:tcPr>
            <w:tcW w:w="2060" w:type="dxa"/>
            <w:tcBorders>
              <w:top w:val="nil"/>
              <w:left w:val="nil"/>
              <w:bottom w:val="nil"/>
              <w:right w:val="nil"/>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p>
        </w:tc>
      </w:tr>
    </w:tbl>
    <w:p w:rsidR="00FE6AAF" w:rsidRDefault="00B02E62" w:rsidP="002832D0">
      <w:pPr>
        <w:pStyle w:val="MainText"/>
        <w:rPr>
          <w:szCs w:val="24"/>
        </w:rPr>
      </w:pPr>
      <w:r w:rsidRPr="002832D0">
        <w:rPr>
          <w:szCs w:val="24"/>
        </w:rPr>
        <w:t>Červenec a srpen – jedná se o dopočet dle spotřeby plynu z důvodu cejchování měřiče tepla</w:t>
      </w:r>
      <w:r>
        <w:rPr>
          <w:szCs w:val="24"/>
        </w:rPr>
        <w:t>.</w:t>
      </w:r>
    </w:p>
    <w:p w:rsidR="00B02E62" w:rsidRDefault="00B02E62" w:rsidP="002832D0">
      <w:pPr>
        <w:pStyle w:val="MainText"/>
        <w:rPr>
          <w:szCs w:val="24"/>
        </w:rPr>
      </w:pPr>
    </w:p>
    <w:p w:rsidR="00B02E62" w:rsidRPr="002832D0" w:rsidRDefault="00B02E62" w:rsidP="002832D0">
      <w:pPr>
        <w:pStyle w:val="MainText"/>
        <w:rPr>
          <w:szCs w:val="24"/>
        </w:rPr>
      </w:pPr>
    </w:p>
    <w:tbl>
      <w:tblPr>
        <w:tblW w:w="9211" w:type="dxa"/>
        <w:tblInd w:w="55" w:type="dxa"/>
        <w:tblCellMar>
          <w:left w:w="70" w:type="dxa"/>
          <w:right w:w="70" w:type="dxa"/>
        </w:tblCellMar>
        <w:tblLook w:val="04A0" w:firstRow="1" w:lastRow="0" w:firstColumn="1" w:lastColumn="0" w:noHBand="0" w:noVBand="1"/>
      </w:tblPr>
      <w:tblGrid>
        <w:gridCol w:w="1163"/>
        <w:gridCol w:w="2060"/>
        <w:gridCol w:w="2060"/>
        <w:gridCol w:w="2060"/>
        <w:gridCol w:w="2060"/>
      </w:tblGrid>
      <w:tr w:rsidR="00FE6AAF" w:rsidRPr="00F77A63" w:rsidTr="003F7C52">
        <w:trPr>
          <w:trHeight w:val="615"/>
        </w:trPr>
        <w:tc>
          <w:tcPr>
            <w:tcW w:w="97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FE6AAF" w:rsidRPr="00F77A63" w:rsidRDefault="00FE6AAF" w:rsidP="003F7C52">
            <w:pPr>
              <w:spacing w:after="0" w:line="240" w:lineRule="auto"/>
              <w:jc w:val="center"/>
              <w:rPr>
                <w:rFonts w:eastAsia="Times New Roman"/>
                <w:b/>
                <w:bCs/>
                <w:color w:val="000000"/>
                <w:sz w:val="28"/>
                <w:szCs w:val="28"/>
                <w:lang w:eastAsia="cs-CZ"/>
              </w:rPr>
            </w:pPr>
            <w:r w:rsidRPr="00F77A63">
              <w:rPr>
                <w:rFonts w:eastAsia="Times New Roman"/>
                <w:b/>
                <w:bCs/>
                <w:color w:val="000000"/>
                <w:sz w:val="28"/>
                <w:szCs w:val="28"/>
                <w:lang w:eastAsia="cs-CZ"/>
              </w:rPr>
              <w:t>201</w:t>
            </w:r>
            <w:r>
              <w:rPr>
                <w:rFonts w:eastAsia="Times New Roman"/>
                <w:b/>
                <w:bCs/>
                <w:color w:val="000000"/>
                <w:sz w:val="28"/>
                <w:szCs w:val="28"/>
                <w:lang w:eastAsia="cs-CZ"/>
              </w:rPr>
              <w:t>7</w:t>
            </w:r>
          </w:p>
        </w:tc>
        <w:tc>
          <w:tcPr>
            <w:tcW w:w="2060" w:type="dxa"/>
            <w:tcBorders>
              <w:top w:val="single" w:sz="8" w:space="0" w:color="auto"/>
              <w:left w:val="nil"/>
              <w:bottom w:val="double" w:sz="6" w:space="0" w:color="auto"/>
              <w:right w:val="single" w:sz="4"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Výroba teplo (GJ)</w:t>
            </w:r>
          </w:p>
        </w:tc>
        <w:tc>
          <w:tcPr>
            <w:tcW w:w="2060" w:type="dxa"/>
            <w:tcBorders>
              <w:top w:val="single" w:sz="8" w:space="0" w:color="auto"/>
              <w:left w:val="nil"/>
              <w:bottom w:val="double" w:sz="6" w:space="0" w:color="auto"/>
              <w:right w:val="single" w:sz="4"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Průměrná venkovní teplota (°C)</w:t>
            </w:r>
          </w:p>
        </w:tc>
        <w:tc>
          <w:tcPr>
            <w:tcW w:w="2060" w:type="dxa"/>
            <w:tcBorders>
              <w:top w:val="single" w:sz="8" w:space="0" w:color="auto"/>
              <w:left w:val="nil"/>
              <w:bottom w:val="double" w:sz="6" w:space="0" w:color="auto"/>
              <w:right w:val="single" w:sz="4"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Počet topných dní - ÚT</w:t>
            </w:r>
          </w:p>
        </w:tc>
        <w:tc>
          <w:tcPr>
            <w:tcW w:w="2060" w:type="dxa"/>
            <w:tcBorders>
              <w:top w:val="single" w:sz="8" w:space="0" w:color="auto"/>
              <w:left w:val="nil"/>
              <w:bottom w:val="double" w:sz="6" w:space="0" w:color="auto"/>
              <w:right w:val="single" w:sz="8" w:space="0" w:color="auto"/>
            </w:tcBorders>
            <w:shd w:val="clear" w:color="auto" w:fill="auto"/>
            <w:vAlign w:val="center"/>
            <w:hideMark/>
          </w:tcPr>
          <w:p w:rsidR="00FE6AAF" w:rsidRPr="00F77A63" w:rsidRDefault="00FE6AAF" w:rsidP="003F7C52">
            <w:pPr>
              <w:spacing w:after="0" w:line="240" w:lineRule="auto"/>
              <w:jc w:val="center"/>
              <w:rPr>
                <w:rFonts w:eastAsia="Times New Roman"/>
                <w:color w:val="000000"/>
                <w:lang w:eastAsia="cs-CZ"/>
              </w:rPr>
            </w:pPr>
            <w:r w:rsidRPr="00F77A63">
              <w:rPr>
                <w:rFonts w:eastAsia="Times New Roman"/>
                <w:color w:val="000000"/>
                <w:lang w:eastAsia="cs-CZ"/>
              </w:rPr>
              <w:t>Počet topných dní - TUV</w:t>
            </w:r>
          </w:p>
        </w:tc>
      </w:tr>
      <w:tr w:rsidR="00FE6AAF" w:rsidRPr="00F77A63" w:rsidTr="00B400F8">
        <w:trPr>
          <w:trHeight w:val="315"/>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Leden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4</w:t>
            </w:r>
            <w:r>
              <w:rPr>
                <w:rFonts w:eastAsia="Times New Roman"/>
                <w:color w:val="000000"/>
                <w:lang w:eastAsia="cs-CZ"/>
              </w:rPr>
              <w:t xml:space="preserve"> </w:t>
            </w:r>
            <w:r w:rsidRPr="00501408">
              <w:rPr>
                <w:rFonts w:eastAsia="Times New Roman"/>
                <w:color w:val="000000"/>
                <w:lang w:eastAsia="cs-CZ"/>
              </w:rPr>
              <w:t>500</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-6,3</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Únor</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w:t>
            </w:r>
            <w:r>
              <w:rPr>
                <w:rFonts w:eastAsia="Times New Roman"/>
                <w:color w:val="000000"/>
                <w:lang w:eastAsia="cs-CZ"/>
              </w:rPr>
              <w:t xml:space="preserve"> </w:t>
            </w:r>
            <w:r w:rsidRPr="00501408">
              <w:rPr>
                <w:rFonts w:eastAsia="Times New Roman"/>
                <w:color w:val="000000"/>
                <w:lang w:eastAsia="cs-CZ"/>
              </w:rPr>
              <w:t>064</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1,75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28</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28</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Březen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w:t>
            </w:r>
            <w:r>
              <w:rPr>
                <w:rFonts w:eastAsia="Times New Roman"/>
                <w:color w:val="000000"/>
                <w:lang w:eastAsia="cs-CZ"/>
              </w:rPr>
              <w:t xml:space="preserve"> </w:t>
            </w:r>
            <w:r w:rsidRPr="00501408">
              <w:rPr>
                <w:rFonts w:eastAsia="Times New Roman"/>
                <w:color w:val="000000"/>
                <w:lang w:eastAsia="cs-CZ"/>
              </w:rPr>
              <w:t>503</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6,2</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Duben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w:t>
            </w:r>
            <w:r>
              <w:rPr>
                <w:rFonts w:eastAsia="Times New Roman"/>
                <w:color w:val="000000"/>
                <w:lang w:eastAsia="cs-CZ"/>
              </w:rPr>
              <w:t xml:space="preserve"> </w:t>
            </w:r>
            <w:r w:rsidRPr="00501408">
              <w:rPr>
                <w:rFonts w:eastAsia="Times New Roman"/>
                <w:color w:val="000000"/>
                <w:lang w:eastAsia="cs-CZ"/>
              </w:rPr>
              <w:t>089</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6,3</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Květen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w:t>
            </w:r>
            <w:r>
              <w:rPr>
                <w:rFonts w:eastAsia="Times New Roman"/>
                <w:color w:val="000000"/>
                <w:lang w:eastAsia="cs-CZ"/>
              </w:rPr>
              <w:t xml:space="preserve"> </w:t>
            </w:r>
            <w:r w:rsidRPr="00501408">
              <w:rPr>
                <w:rFonts w:eastAsia="Times New Roman"/>
                <w:color w:val="000000"/>
                <w:lang w:eastAsia="cs-CZ"/>
              </w:rPr>
              <w:t>325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14,18</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18</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Červen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806</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20,85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B400F8" w:rsidP="00B400F8">
            <w:pPr>
              <w:spacing w:after="0" w:line="240" w:lineRule="auto"/>
              <w:jc w:val="center"/>
              <w:rPr>
                <w:rFonts w:eastAsia="Times New Roman"/>
                <w:color w:val="000000"/>
                <w:lang w:eastAsia="cs-CZ"/>
              </w:rPr>
            </w:pPr>
            <w:r>
              <w:rPr>
                <w:rFonts w:eastAsia="Times New Roman"/>
                <w:color w:val="000000"/>
                <w:lang w:eastAsia="cs-CZ"/>
              </w:rPr>
              <w:t>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Červenec</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797</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20,6</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B400F8" w:rsidP="00B400F8">
            <w:pPr>
              <w:spacing w:after="0" w:line="240" w:lineRule="auto"/>
              <w:jc w:val="center"/>
              <w:rPr>
                <w:rFonts w:eastAsia="Times New Roman"/>
                <w:color w:val="000000"/>
                <w:lang w:eastAsia="cs-CZ"/>
              </w:rPr>
            </w:pPr>
            <w:r>
              <w:rPr>
                <w:rFonts w:eastAsia="Times New Roman"/>
                <w:color w:val="000000"/>
                <w:lang w:eastAsia="cs-CZ"/>
              </w:rPr>
              <w:t>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Srpen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785</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19,78</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B400F8" w:rsidP="00B400F8">
            <w:pPr>
              <w:spacing w:after="0" w:line="240" w:lineRule="auto"/>
              <w:jc w:val="center"/>
              <w:rPr>
                <w:rFonts w:eastAsia="Times New Roman"/>
                <w:color w:val="000000"/>
                <w:lang w:eastAsia="cs-CZ"/>
              </w:rPr>
            </w:pPr>
            <w:r>
              <w:rPr>
                <w:rFonts w:eastAsia="Times New Roman"/>
                <w:color w:val="000000"/>
                <w:lang w:eastAsia="cs-CZ"/>
              </w:rPr>
              <w:t>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Září</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w:t>
            </w:r>
            <w:r>
              <w:rPr>
                <w:rFonts w:eastAsia="Times New Roman"/>
                <w:color w:val="000000"/>
                <w:lang w:eastAsia="cs-CZ"/>
              </w:rPr>
              <w:t xml:space="preserve"> </w:t>
            </w:r>
            <w:r w:rsidRPr="00501408">
              <w:rPr>
                <w:rFonts w:eastAsia="Times New Roman"/>
                <w:color w:val="000000"/>
                <w:lang w:eastAsia="cs-CZ"/>
              </w:rPr>
              <w:t>370</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13,7</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18</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Říjen</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w:t>
            </w:r>
            <w:r>
              <w:rPr>
                <w:rFonts w:eastAsia="Times New Roman"/>
                <w:color w:val="000000"/>
                <w:lang w:eastAsia="cs-CZ"/>
              </w:rPr>
              <w:t xml:space="preserve"> </w:t>
            </w:r>
            <w:r w:rsidRPr="00501408">
              <w:rPr>
                <w:rFonts w:eastAsia="Times New Roman"/>
                <w:color w:val="000000"/>
                <w:lang w:eastAsia="cs-CZ"/>
              </w:rPr>
              <w:t>968</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11,1</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B400F8">
        <w:trPr>
          <w:trHeight w:val="300"/>
        </w:trPr>
        <w:tc>
          <w:tcPr>
            <w:tcW w:w="971" w:type="dxa"/>
            <w:tcBorders>
              <w:top w:val="nil"/>
              <w:left w:val="single" w:sz="8" w:space="0" w:color="auto"/>
              <w:bottom w:val="single" w:sz="4"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Listopad</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2</w:t>
            </w:r>
            <w:r>
              <w:rPr>
                <w:rFonts w:eastAsia="Times New Roman"/>
                <w:color w:val="000000"/>
                <w:lang w:eastAsia="cs-CZ"/>
              </w:rPr>
              <w:t xml:space="preserve"> </w:t>
            </w:r>
            <w:r w:rsidRPr="00501408">
              <w:rPr>
                <w:rFonts w:eastAsia="Times New Roman"/>
                <w:color w:val="000000"/>
                <w:lang w:eastAsia="cs-CZ"/>
              </w:rPr>
              <w:t>902</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4,27</w:t>
            </w:r>
          </w:p>
        </w:tc>
        <w:tc>
          <w:tcPr>
            <w:tcW w:w="2060" w:type="dxa"/>
            <w:tcBorders>
              <w:top w:val="nil"/>
              <w:left w:val="nil"/>
              <w:bottom w:val="single" w:sz="4" w:space="0" w:color="auto"/>
              <w:right w:val="single" w:sz="4"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30</w:t>
            </w:r>
          </w:p>
        </w:tc>
        <w:tc>
          <w:tcPr>
            <w:tcW w:w="2060" w:type="dxa"/>
            <w:tcBorders>
              <w:top w:val="nil"/>
              <w:left w:val="nil"/>
              <w:bottom w:val="single" w:sz="4" w:space="0" w:color="auto"/>
              <w:right w:val="single" w:sz="8" w:space="0" w:color="auto"/>
            </w:tcBorders>
            <w:shd w:val="clear" w:color="auto" w:fill="auto"/>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30</w:t>
            </w:r>
          </w:p>
        </w:tc>
      </w:tr>
      <w:tr w:rsidR="00FE6AAF" w:rsidRPr="00F77A63" w:rsidTr="00B400F8">
        <w:trPr>
          <w:trHeight w:val="315"/>
        </w:trPr>
        <w:tc>
          <w:tcPr>
            <w:tcW w:w="971" w:type="dxa"/>
            <w:tcBorders>
              <w:top w:val="nil"/>
              <w:left w:val="single" w:sz="8" w:space="0" w:color="auto"/>
              <w:bottom w:val="single" w:sz="8" w:space="0" w:color="auto"/>
              <w:right w:val="single" w:sz="4" w:space="0" w:color="auto"/>
            </w:tcBorders>
            <w:shd w:val="clear" w:color="auto" w:fill="FFFFFF" w:themeFill="background1"/>
            <w:noWrap/>
            <w:vAlign w:val="bottom"/>
            <w:hideMark/>
          </w:tcPr>
          <w:p w:rsidR="00FE6AAF" w:rsidRPr="00F77A63" w:rsidRDefault="00FE6AAF" w:rsidP="003F7C52">
            <w:pPr>
              <w:spacing w:after="0" w:line="240" w:lineRule="auto"/>
              <w:rPr>
                <w:rFonts w:eastAsia="Times New Roman"/>
                <w:color w:val="000000"/>
                <w:lang w:eastAsia="cs-CZ"/>
              </w:rPr>
            </w:pPr>
            <w:r w:rsidRPr="00F77A63">
              <w:rPr>
                <w:rFonts w:eastAsia="Times New Roman"/>
                <w:color w:val="000000"/>
                <w:lang w:eastAsia="cs-CZ"/>
              </w:rPr>
              <w:t>Prosinec</w:t>
            </w:r>
            <w:r w:rsidR="003A3902">
              <w:rPr>
                <w:rFonts w:eastAsia="Times New Roman"/>
                <w:color w:val="000000"/>
                <w:lang w:eastAsia="cs-CZ"/>
              </w:rPr>
              <w:t>*)</w:t>
            </w:r>
            <w:r w:rsidR="00B02E62">
              <w:rPr>
                <w:rFonts w:eastAsia="Times New Roman"/>
                <w:color w:val="000000"/>
                <w:lang w:eastAsia="cs-CZ"/>
              </w:rPr>
              <w:t xml:space="preserve"> </w:t>
            </w:r>
          </w:p>
        </w:tc>
        <w:tc>
          <w:tcPr>
            <w:tcW w:w="2060" w:type="dxa"/>
            <w:tcBorders>
              <w:top w:val="nil"/>
              <w:left w:val="nil"/>
              <w:bottom w:val="single" w:sz="8" w:space="0" w:color="auto"/>
              <w:right w:val="single" w:sz="4" w:space="0" w:color="auto"/>
            </w:tcBorders>
            <w:shd w:val="clear" w:color="auto" w:fill="FFFFFF" w:themeFill="background1"/>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w:t>
            </w:r>
            <w:r>
              <w:rPr>
                <w:rFonts w:eastAsia="Times New Roman"/>
                <w:color w:val="000000"/>
                <w:lang w:eastAsia="cs-CZ"/>
              </w:rPr>
              <w:t xml:space="preserve"> </w:t>
            </w:r>
            <w:r w:rsidRPr="00501408">
              <w:rPr>
                <w:rFonts w:eastAsia="Times New Roman"/>
                <w:color w:val="000000"/>
                <w:lang w:eastAsia="cs-CZ"/>
              </w:rPr>
              <w:t>632</w:t>
            </w:r>
          </w:p>
        </w:tc>
        <w:tc>
          <w:tcPr>
            <w:tcW w:w="2060" w:type="dxa"/>
            <w:tcBorders>
              <w:top w:val="nil"/>
              <w:left w:val="nil"/>
              <w:bottom w:val="single" w:sz="8" w:space="0" w:color="auto"/>
              <w:right w:val="single" w:sz="4" w:space="0" w:color="auto"/>
            </w:tcBorders>
            <w:shd w:val="clear" w:color="auto" w:fill="FFFFFF" w:themeFill="background1"/>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0,04</w:t>
            </w:r>
          </w:p>
        </w:tc>
        <w:tc>
          <w:tcPr>
            <w:tcW w:w="2060" w:type="dxa"/>
            <w:tcBorders>
              <w:top w:val="nil"/>
              <w:left w:val="nil"/>
              <w:bottom w:val="single" w:sz="8" w:space="0" w:color="auto"/>
              <w:right w:val="single" w:sz="4" w:space="0" w:color="auto"/>
            </w:tcBorders>
            <w:shd w:val="clear" w:color="auto" w:fill="FFFFFF" w:themeFill="background1"/>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c>
          <w:tcPr>
            <w:tcW w:w="2060" w:type="dxa"/>
            <w:tcBorders>
              <w:top w:val="nil"/>
              <w:left w:val="nil"/>
              <w:bottom w:val="single" w:sz="8" w:space="0" w:color="auto"/>
              <w:right w:val="single" w:sz="8" w:space="0" w:color="auto"/>
            </w:tcBorders>
            <w:shd w:val="clear" w:color="auto" w:fill="FFFFFF" w:themeFill="background1"/>
            <w:noWrap/>
            <w:vAlign w:val="center"/>
            <w:hideMark/>
          </w:tcPr>
          <w:p w:rsidR="00FE6AAF" w:rsidRPr="00501408" w:rsidRDefault="00FE6AAF" w:rsidP="00B400F8">
            <w:pPr>
              <w:spacing w:after="0" w:line="240" w:lineRule="auto"/>
              <w:jc w:val="center"/>
              <w:rPr>
                <w:rFonts w:eastAsia="Times New Roman"/>
                <w:color w:val="000000"/>
                <w:lang w:eastAsia="cs-CZ"/>
              </w:rPr>
            </w:pPr>
            <w:r w:rsidRPr="00501408">
              <w:rPr>
                <w:rFonts w:eastAsia="Times New Roman"/>
                <w:color w:val="000000"/>
                <w:lang w:eastAsia="cs-CZ"/>
              </w:rPr>
              <w:t>31</w:t>
            </w:r>
          </w:p>
        </w:tc>
      </w:tr>
      <w:tr w:rsidR="00FE6AAF" w:rsidRPr="00F77A63" w:rsidTr="003F7C52">
        <w:trPr>
          <w:trHeight w:val="315"/>
        </w:trPr>
        <w:tc>
          <w:tcPr>
            <w:tcW w:w="971" w:type="dxa"/>
            <w:tcBorders>
              <w:top w:val="nil"/>
              <w:left w:val="single" w:sz="8" w:space="0" w:color="auto"/>
              <w:bottom w:val="single" w:sz="8" w:space="0" w:color="auto"/>
              <w:right w:val="single" w:sz="4" w:space="0" w:color="auto"/>
            </w:tcBorders>
            <w:shd w:val="clear" w:color="auto" w:fill="auto"/>
            <w:noWrap/>
            <w:vAlign w:val="bottom"/>
            <w:hideMark/>
          </w:tcPr>
          <w:p w:rsidR="00FE6AAF" w:rsidRPr="00F77A63" w:rsidRDefault="00FE6AAF" w:rsidP="003F7C52">
            <w:pPr>
              <w:spacing w:after="0" w:line="240" w:lineRule="auto"/>
              <w:rPr>
                <w:rFonts w:eastAsia="Times New Roman"/>
                <w:b/>
                <w:bCs/>
                <w:color w:val="000000"/>
                <w:lang w:eastAsia="cs-CZ"/>
              </w:rPr>
            </w:pPr>
            <w:r w:rsidRPr="00F77A63">
              <w:rPr>
                <w:rFonts w:eastAsia="Times New Roman"/>
                <w:b/>
                <w:bCs/>
                <w:color w:val="000000"/>
                <w:lang w:eastAsia="cs-CZ"/>
              </w:rPr>
              <w:t>CELKEM</w:t>
            </w:r>
          </w:p>
        </w:tc>
        <w:tc>
          <w:tcPr>
            <w:tcW w:w="2060" w:type="dxa"/>
            <w:tcBorders>
              <w:top w:val="nil"/>
              <w:left w:val="nil"/>
              <w:bottom w:val="single" w:sz="8" w:space="0" w:color="auto"/>
              <w:right w:val="single" w:sz="8" w:space="0" w:color="auto"/>
            </w:tcBorders>
            <w:shd w:val="clear" w:color="auto" w:fill="auto"/>
            <w:noWrap/>
            <w:vAlign w:val="bottom"/>
            <w:hideMark/>
          </w:tcPr>
          <w:p w:rsidR="00FE6AAF" w:rsidRPr="00F77A63" w:rsidRDefault="00FE6AAF" w:rsidP="003F7C52">
            <w:pPr>
              <w:spacing w:after="0" w:line="240" w:lineRule="auto"/>
              <w:jc w:val="right"/>
              <w:rPr>
                <w:rFonts w:eastAsia="Times New Roman"/>
                <w:b/>
                <w:bCs/>
                <w:color w:val="000000"/>
                <w:lang w:eastAsia="cs-CZ"/>
              </w:rPr>
            </w:pPr>
            <w:r w:rsidRPr="00F77A63">
              <w:rPr>
                <w:rFonts w:eastAsia="Times New Roman"/>
                <w:b/>
                <w:bCs/>
                <w:color w:val="000000"/>
                <w:lang w:eastAsia="cs-CZ"/>
              </w:rPr>
              <w:t>2</w:t>
            </w:r>
            <w:r>
              <w:rPr>
                <w:rFonts w:eastAsia="Times New Roman"/>
                <w:b/>
                <w:bCs/>
                <w:color w:val="000000"/>
                <w:lang w:eastAsia="cs-CZ"/>
              </w:rPr>
              <w:t>5 741</w:t>
            </w:r>
          </w:p>
        </w:tc>
        <w:tc>
          <w:tcPr>
            <w:tcW w:w="2060" w:type="dxa"/>
            <w:tcBorders>
              <w:top w:val="nil"/>
              <w:left w:val="nil"/>
              <w:bottom w:val="nil"/>
              <w:right w:val="nil"/>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p>
        </w:tc>
        <w:tc>
          <w:tcPr>
            <w:tcW w:w="2060" w:type="dxa"/>
            <w:tcBorders>
              <w:top w:val="nil"/>
              <w:left w:val="nil"/>
              <w:bottom w:val="nil"/>
              <w:right w:val="nil"/>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p>
        </w:tc>
        <w:tc>
          <w:tcPr>
            <w:tcW w:w="2060" w:type="dxa"/>
            <w:tcBorders>
              <w:top w:val="nil"/>
              <w:left w:val="nil"/>
              <w:bottom w:val="nil"/>
              <w:right w:val="nil"/>
            </w:tcBorders>
            <w:shd w:val="clear" w:color="auto" w:fill="auto"/>
            <w:noWrap/>
            <w:vAlign w:val="bottom"/>
            <w:hideMark/>
          </w:tcPr>
          <w:p w:rsidR="00FE6AAF" w:rsidRPr="00F77A63" w:rsidRDefault="00FE6AAF" w:rsidP="003F7C52">
            <w:pPr>
              <w:spacing w:after="0" w:line="240" w:lineRule="auto"/>
              <w:rPr>
                <w:rFonts w:eastAsia="Times New Roman"/>
                <w:color w:val="000000"/>
                <w:lang w:eastAsia="cs-CZ"/>
              </w:rPr>
            </w:pPr>
          </w:p>
        </w:tc>
      </w:tr>
    </w:tbl>
    <w:p w:rsidR="0030449C" w:rsidRDefault="00B02E62" w:rsidP="003A3902">
      <w:pPr>
        <w:pStyle w:val="MainText"/>
        <w:shd w:val="clear" w:color="auto" w:fill="FFFFFF" w:themeFill="background1"/>
        <w:rPr>
          <w:szCs w:val="24"/>
        </w:rPr>
      </w:pPr>
      <w:r w:rsidRPr="003A3902">
        <w:rPr>
          <w:szCs w:val="24"/>
        </w:rPr>
        <w:t>*) Jedná se o hodnoty z roku 2016. Hodnoty pro rok 2017 budou doplněné po jejich zpracování</w:t>
      </w:r>
    </w:p>
    <w:p w:rsidR="00A61A87" w:rsidRPr="00A61A87" w:rsidRDefault="00A61A87" w:rsidP="00A61A87">
      <w:pPr>
        <w:pStyle w:val="MainText"/>
        <w:keepNext/>
        <w:numPr>
          <w:ilvl w:val="1"/>
          <w:numId w:val="21"/>
        </w:numPr>
        <w:spacing w:before="240"/>
        <w:ind w:left="851" w:hanging="284"/>
        <w:rPr>
          <w:b/>
          <w:szCs w:val="24"/>
          <w:u w:val="single"/>
        </w:rPr>
      </w:pPr>
      <w:r w:rsidRPr="00A61A87">
        <w:rPr>
          <w:b/>
          <w:szCs w:val="24"/>
          <w:u w:val="single"/>
        </w:rPr>
        <w:t>Popis kotelny a termohydraulických rozdělovačů</w:t>
      </w:r>
    </w:p>
    <w:p w:rsidR="00A61A87" w:rsidRDefault="00A61A87" w:rsidP="00A61A87">
      <w:pPr>
        <w:pStyle w:val="MainText"/>
        <w:rPr>
          <w:szCs w:val="24"/>
        </w:rPr>
      </w:pPr>
      <w:r w:rsidRPr="00A61A87">
        <w:rPr>
          <w:szCs w:val="24"/>
        </w:rPr>
        <w:t xml:space="preserve">Teplovodní kotelna je situována v budově městské společnosti, daná budova dále obsahuje garáže, prostory dílen, skladovací a kancelářské prostory. Samotná plynová kotelna je složena ze dvou kotlů Viessmann Vitoplex 200, každý osazený plynovým hořákem Weishaupt. Kotelna je připojena k distribuční soustavě plynu na úrovni středotlakého vedení 300 kPa. </w:t>
      </w:r>
    </w:p>
    <w:p w:rsidR="00A61A87" w:rsidRPr="00A61A87" w:rsidRDefault="00A61A87" w:rsidP="00A61A87">
      <w:pPr>
        <w:pStyle w:val="MainText"/>
        <w:rPr>
          <w:szCs w:val="24"/>
        </w:rPr>
      </w:pPr>
      <w:r w:rsidRPr="00A61A87">
        <w:rPr>
          <w:szCs w:val="24"/>
        </w:rPr>
        <w:t>Připojení k distribuční soustavě elektrické energie je společné pro celou budovu, kotelna je připojena prostřednictvím podružného rozvaděče. Kotelna je vybavena standardními prvky pro daný typ a velikost zdroje – expanzní systém, úpravna vody, řídicí systém, regulační plynové řady a oběhová čerpadla. Vyvedení spalin je realizováno prostřednictvím dvou nerezových komínů na nosném komínovém tělese, vyvedení spalin patrně není vybaveno tlumiči hluku.</w:t>
      </w:r>
    </w:p>
    <w:p w:rsidR="00A61A87" w:rsidRDefault="00A61A87" w:rsidP="00A61A87">
      <w:pPr>
        <w:pStyle w:val="MainText"/>
        <w:rPr>
          <w:szCs w:val="24"/>
        </w:rPr>
      </w:pPr>
      <w:r w:rsidRPr="00A61A87">
        <w:rPr>
          <w:szCs w:val="24"/>
        </w:rPr>
        <w:t>Vyvedení tepelného výkonu kotelny je realizováno do termohydraulických rozvaděčů situovaných v budově poblíž strojírenské dílny. Zde je výkon rozdělen do tří topných větví. Nadmořská výška budov připojených k jednotlivým větvím je rozdílná, nicméně systémy nejsou vzájemně tlakově odděleny. Předávací místo mezi kotelnou a distribuční soustavou není pevně dáno, formálně za něj lze považovat fakturační kalorimetr na vedení mezi kotelnou a termohydraulickými rozdělovači.</w:t>
      </w:r>
    </w:p>
    <w:p w:rsidR="0040332E" w:rsidRDefault="0040332E" w:rsidP="00A61A87">
      <w:pPr>
        <w:pStyle w:val="MainText"/>
        <w:rPr>
          <w:szCs w:val="24"/>
        </w:rPr>
      </w:pPr>
      <w:r>
        <w:rPr>
          <w:szCs w:val="24"/>
        </w:rPr>
        <w:t>Technický stav kotelny a vývodové části primárního potrubí jsou uvedeny v příloze č. 1 – Fotodokumentace.</w:t>
      </w:r>
    </w:p>
    <w:p w:rsidR="00AC6F02" w:rsidRPr="00A61A87" w:rsidRDefault="00AC6F02" w:rsidP="00A61A87">
      <w:pPr>
        <w:pStyle w:val="MainText"/>
        <w:rPr>
          <w:szCs w:val="24"/>
        </w:rPr>
      </w:pPr>
      <w:r w:rsidRPr="00AC6F02">
        <w:rPr>
          <w:szCs w:val="24"/>
        </w:rPr>
        <w:t>Denní spotřeba plynu stávající kotelny je 5 500 m3/den</w:t>
      </w:r>
      <w:r>
        <w:rPr>
          <w:szCs w:val="24"/>
        </w:rPr>
        <w:t>.</w:t>
      </w:r>
      <w:r w:rsidR="00B02E62">
        <w:rPr>
          <w:szCs w:val="24"/>
        </w:rPr>
        <w:t xml:space="preserve"> (Nejedná se o závazný parametr)</w:t>
      </w:r>
    </w:p>
    <w:p w:rsidR="00A61A87" w:rsidRPr="00A61A87" w:rsidRDefault="00A61A87" w:rsidP="00A61A87">
      <w:pPr>
        <w:pStyle w:val="MainText"/>
        <w:keepNext/>
        <w:numPr>
          <w:ilvl w:val="1"/>
          <w:numId w:val="21"/>
        </w:numPr>
        <w:spacing w:before="240"/>
        <w:ind w:left="851" w:hanging="284"/>
        <w:rPr>
          <w:b/>
          <w:szCs w:val="24"/>
          <w:u w:val="single"/>
        </w:rPr>
      </w:pPr>
      <w:r w:rsidRPr="00A61A87">
        <w:rPr>
          <w:b/>
          <w:szCs w:val="24"/>
          <w:u w:val="single"/>
        </w:rPr>
        <w:t>Popis distribuční soustavy</w:t>
      </w:r>
    </w:p>
    <w:p w:rsidR="00A61A87" w:rsidRPr="00A61A87" w:rsidRDefault="00A61A87" w:rsidP="00A61A87">
      <w:pPr>
        <w:pStyle w:val="MainText"/>
        <w:rPr>
          <w:szCs w:val="24"/>
        </w:rPr>
      </w:pPr>
      <w:r w:rsidRPr="00A61A87">
        <w:rPr>
          <w:szCs w:val="24"/>
        </w:rPr>
        <w:t xml:space="preserve">Distribuční soustava je realizována jako dvoutrubní s místní přípravou TV na patách objektů odběratelů. Rozvody jsou provedeny v předizolovaném potrubí a nejeví v současné době zvýšený výskyt poruch. </w:t>
      </w:r>
    </w:p>
    <w:p w:rsidR="00A61A87" w:rsidRPr="00A61A87" w:rsidRDefault="00A61A87" w:rsidP="00A61A87">
      <w:pPr>
        <w:pStyle w:val="MainText"/>
        <w:rPr>
          <w:szCs w:val="24"/>
        </w:rPr>
      </w:pPr>
      <w:r w:rsidRPr="00A61A87">
        <w:rPr>
          <w:szCs w:val="24"/>
        </w:rPr>
        <w:t xml:space="preserve">Teplota topné vody není regulována na základě aktuální venkovní teploty, regulace probíhá až v místě domovních předávacích stanic. </w:t>
      </w:r>
    </w:p>
    <w:p w:rsidR="00A61A87" w:rsidRDefault="00A61A87" w:rsidP="00A61A87">
      <w:pPr>
        <w:pStyle w:val="MainText"/>
        <w:rPr>
          <w:szCs w:val="24"/>
        </w:rPr>
      </w:pPr>
      <w:r w:rsidRPr="00A61A87">
        <w:rPr>
          <w:szCs w:val="24"/>
        </w:rPr>
        <w:t>Na soustavě je realizován systém MaR, který umožňuje prostřednictvím centrálního dispečinku sledovat a řídit provoz soustavy vč. provozu jednotlivých předávacích stanic.</w:t>
      </w:r>
    </w:p>
    <w:p w:rsidR="00A61A87" w:rsidRPr="00A61A87" w:rsidRDefault="00AC6F02" w:rsidP="00A61A87">
      <w:pPr>
        <w:pStyle w:val="MainText"/>
        <w:rPr>
          <w:szCs w:val="24"/>
        </w:rPr>
      </w:pPr>
      <w:r w:rsidRPr="00AC6F02">
        <w:rPr>
          <w:szCs w:val="24"/>
        </w:rPr>
        <w:t xml:space="preserve">Ztráty tepla v soustavě nejsou exaktně měřeny. </w:t>
      </w:r>
      <w:r>
        <w:rPr>
          <w:szCs w:val="24"/>
        </w:rPr>
        <w:t>Ty lze</w:t>
      </w:r>
      <w:r w:rsidRPr="00AC6F02">
        <w:rPr>
          <w:szCs w:val="24"/>
        </w:rPr>
        <w:t xml:space="preserve"> odhadnout na úrovni 10%.</w:t>
      </w:r>
    </w:p>
    <w:p w:rsidR="00A61A87" w:rsidRDefault="00A61A87" w:rsidP="00A61A87">
      <w:pPr>
        <w:pStyle w:val="MainText"/>
        <w:keepNext/>
        <w:numPr>
          <w:ilvl w:val="1"/>
          <w:numId w:val="21"/>
        </w:numPr>
        <w:spacing w:before="240"/>
        <w:ind w:left="851" w:hanging="284"/>
        <w:rPr>
          <w:b/>
          <w:szCs w:val="24"/>
          <w:u w:val="single"/>
        </w:rPr>
      </w:pPr>
      <w:r w:rsidRPr="00A61A87">
        <w:rPr>
          <w:b/>
          <w:szCs w:val="24"/>
          <w:u w:val="single"/>
        </w:rPr>
        <w:t>Doporučení pro zefektivnění provozu soustavy CZT</w:t>
      </w:r>
    </w:p>
    <w:p w:rsidR="00A61A87" w:rsidRDefault="00A61A87" w:rsidP="00A61A87">
      <w:pPr>
        <w:pStyle w:val="MainText"/>
        <w:rPr>
          <w:szCs w:val="24"/>
        </w:rPr>
      </w:pPr>
      <w:r>
        <w:rPr>
          <w:szCs w:val="24"/>
        </w:rPr>
        <w:t xml:space="preserve">Níže uvedená </w:t>
      </w:r>
      <w:r w:rsidRPr="002832D0">
        <w:rPr>
          <w:b/>
          <w:szCs w:val="24"/>
          <w:u w:val="single"/>
        </w:rPr>
        <w:t>doporučení</w:t>
      </w:r>
      <w:r>
        <w:rPr>
          <w:szCs w:val="24"/>
        </w:rPr>
        <w:t xml:space="preserve"> jsou zpracována jako expertní názor zpracovatele Technických podmínek a v</w:t>
      </w:r>
      <w:r w:rsidR="0007004D">
        <w:rPr>
          <w:szCs w:val="24"/>
        </w:rPr>
        <w:t> </w:t>
      </w:r>
      <w:r>
        <w:rPr>
          <w:szCs w:val="24"/>
        </w:rPr>
        <w:t>rámci</w:t>
      </w:r>
      <w:r w:rsidR="0007004D">
        <w:rPr>
          <w:szCs w:val="24"/>
        </w:rPr>
        <w:t xml:space="preserve"> </w:t>
      </w:r>
      <w:r w:rsidRPr="002832D0">
        <w:rPr>
          <w:b/>
          <w:szCs w:val="24"/>
          <w:u w:val="single"/>
        </w:rPr>
        <w:t xml:space="preserve">nejsou </w:t>
      </w:r>
      <w:r w:rsidR="0007004D">
        <w:rPr>
          <w:b/>
          <w:szCs w:val="24"/>
          <w:u w:val="single"/>
        </w:rPr>
        <w:t xml:space="preserve">součástí </w:t>
      </w:r>
      <w:r w:rsidRPr="002832D0">
        <w:rPr>
          <w:b/>
          <w:szCs w:val="24"/>
          <w:u w:val="single"/>
        </w:rPr>
        <w:t>zadávacích podmínek</w:t>
      </w:r>
      <w:r>
        <w:rPr>
          <w:szCs w:val="24"/>
        </w:rPr>
        <w:t xml:space="preserve"> pro jednotlivé uchazeče ve výběrovém řízení</w:t>
      </w:r>
      <w:r w:rsidR="0007004D">
        <w:rPr>
          <w:szCs w:val="24"/>
        </w:rPr>
        <w:t xml:space="preserve"> (a formálně ani být nemohou)</w:t>
      </w:r>
      <w:r>
        <w:rPr>
          <w:szCs w:val="24"/>
        </w:rPr>
        <w:t>, neboť by tak zpracovatel podmínek předjímal řešení jednotlivých uchazečů a omezil tak jejich právo připravit řešení koncepčně jiné. Doporučení tak lze chápat jako ukazatel směru a informační podklad pro zástupce města Holýšov</w:t>
      </w:r>
      <w:r w:rsidR="0040332E">
        <w:rPr>
          <w:szCs w:val="24"/>
        </w:rPr>
        <w:t>, jaké systémové řešení očekávat.</w:t>
      </w:r>
    </w:p>
    <w:p w:rsidR="0040332E" w:rsidRDefault="00F602DE" w:rsidP="00A61A87">
      <w:pPr>
        <w:pStyle w:val="MainText"/>
        <w:numPr>
          <w:ilvl w:val="0"/>
          <w:numId w:val="28"/>
        </w:numPr>
        <w:rPr>
          <w:szCs w:val="24"/>
        </w:rPr>
      </w:pPr>
      <w:r>
        <w:rPr>
          <w:b/>
          <w:szCs w:val="24"/>
        </w:rPr>
        <w:t>N</w:t>
      </w:r>
      <w:r w:rsidR="00A61A87" w:rsidRPr="00F602DE">
        <w:rPr>
          <w:b/>
          <w:szCs w:val="24"/>
        </w:rPr>
        <w:t>avýšení účinnosti výroby tepla</w:t>
      </w:r>
      <w:r w:rsidR="00A61A87" w:rsidRPr="00A61A87">
        <w:rPr>
          <w:szCs w:val="24"/>
        </w:rPr>
        <w:t xml:space="preserve"> je vhodné instalovat k jednomu ze stávajících </w:t>
      </w:r>
      <w:r>
        <w:rPr>
          <w:szCs w:val="24"/>
        </w:rPr>
        <w:t xml:space="preserve">(resp. nově instalovaných) </w:t>
      </w:r>
      <w:r w:rsidR="00A61A87" w:rsidRPr="00A61A87">
        <w:rPr>
          <w:szCs w:val="24"/>
        </w:rPr>
        <w:t>kotlů spalinový výměník – ekonomizér, který bude předřazen na vstupu vody do kotlů. V případě výstavby nové kotelny doporučujeme instalovat minimálně jeden kondenzační kotel pro využití kondenzačního tepla zemního plyn</w:t>
      </w:r>
      <w:r w:rsidR="0040332E">
        <w:rPr>
          <w:szCs w:val="24"/>
        </w:rPr>
        <w:t xml:space="preserve">u a zvýšení účinnosti výroby. </w:t>
      </w:r>
    </w:p>
    <w:p w:rsidR="00A61A87" w:rsidRDefault="00A61A87" w:rsidP="00A61A87">
      <w:pPr>
        <w:pStyle w:val="MainText"/>
        <w:numPr>
          <w:ilvl w:val="0"/>
          <w:numId w:val="28"/>
        </w:numPr>
        <w:rPr>
          <w:szCs w:val="24"/>
        </w:rPr>
      </w:pPr>
      <w:r w:rsidRPr="0040332E">
        <w:rPr>
          <w:b/>
          <w:szCs w:val="24"/>
        </w:rPr>
        <w:t>Instalace kogenerační jednotky</w:t>
      </w:r>
      <w:r w:rsidRPr="00A61A87">
        <w:rPr>
          <w:szCs w:val="24"/>
        </w:rPr>
        <w:t>. Vzhledem k charakteru zdroje – teplovodní plynová kotelna – se jedná o ideální příležitost pro umístění kogenerační jednotky na bázi stacionárního motoru spalujícího zemní plyn. Pro daný objem tepla – 22 000 GJ/rok lze uvažovat s instalací KGJ 800 – 1 000 kWe.</w:t>
      </w:r>
      <w:r w:rsidR="0040332E">
        <w:rPr>
          <w:szCs w:val="24"/>
        </w:rPr>
        <w:t xml:space="preserve"> Součástí pak bude též akumulační zásobník tepla pro efektivní řízení chodu soustavy.</w:t>
      </w:r>
    </w:p>
    <w:p w:rsidR="0040332E" w:rsidRPr="00A61A87" w:rsidRDefault="0040332E" w:rsidP="0040332E">
      <w:pPr>
        <w:pStyle w:val="MainText"/>
        <w:numPr>
          <w:ilvl w:val="0"/>
          <w:numId w:val="28"/>
        </w:numPr>
        <w:rPr>
          <w:szCs w:val="24"/>
        </w:rPr>
      </w:pPr>
      <w:r w:rsidRPr="0040332E">
        <w:rPr>
          <w:b/>
          <w:szCs w:val="24"/>
        </w:rPr>
        <w:t>Hydraulická a systémová regulace otopného systému</w:t>
      </w:r>
      <w:r>
        <w:rPr>
          <w:szCs w:val="24"/>
        </w:rPr>
        <w:t xml:space="preserve">. </w:t>
      </w:r>
      <w:r w:rsidRPr="00A61A87">
        <w:rPr>
          <w:szCs w:val="24"/>
        </w:rPr>
        <w:t xml:space="preserve"> </w:t>
      </w:r>
      <w:r>
        <w:rPr>
          <w:szCs w:val="24"/>
        </w:rPr>
        <w:t xml:space="preserve">S ohledem na předpokládanou zásadní změnu zdrojů tepla (kondenzační kotle, ekonomizéry spalinové výměníky, kogenerační jednotky) </w:t>
      </w:r>
      <w:r w:rsidRPr="00A61A87">
        <w:rPr>
          <w:szCs w:val="24"/>
        </w:rPr>
        <w:t xml:space="preserve">je nezbytnou součástí </w:t>
      </w:r>
      <w:r>
        <w:rPr>
          <w:szCs w:val="24"/>
        </w:rPr>
        <w:t>řádného řešení provedení zaregulování otopné soustavy.</w:t>
      </w:r>
    </w:p>
    <w:p w:rsidR="0040332E" w:rsidRDefault="0040332E" w:rsidP="00A61A87">
      <w:pPr>
        <w:pStyle w:val="MainText"/>
        <w:numPr>
          <w:ilvl w:val="0"/>
          <w:numId w:val="28"/>
        </w:numPr>
        <w:rPr>
          <w:szCs w:val="24"/>
        </w:rPr>
      </w:pPr>
      <w:r>
        <w:rPr>
          <w:szCs w:val="24"/>
        </w:rPr>
        <w:t>Aplikace řešení umožňující maximální zefektivnění výroby tepla (maximalizace sledovaných parametrů účinnosti výroby tepla, resp. spotřeby primárních paliv). Pro zajištění nejnižší nabídkové ceny dodávkového tepla na patě objektu kotelny pak úspěšný uchazeč musí takovéto řešení představit a nabídnout.</w:t>
      </w:r>
    </w:p>
    <w:p w:rsidR="00F602DE" w:rsidRPr="00F95AAD" w:rsidRDefault="00F602DE" w:rsidP="00F602DE">
      <w:pPr>
        <w:pStyle w:val="MainText"/>
        <w:numPr>
          <w:ilvl w:val="0"/>
          <w:numId w:val="28"/>
        </w:numPr>
        <w:rPr>
          <w:szCs w:val="24"/>
        </w:rPr>
      </w:pPr>
      <w:r>
        <w:rPr>
          <w:szCs w:val="24"/>
        </w:rPr>
        <w:t xml:space="preserve">Technické řešení koncipovat s výkonovou rezervou pro zajištění dodávek pro nově připojené subjekty. Dle prvotních úvah je záměrem města Holýšov připojit k soustavě CZT dále objekt Základní školy (ul. </w:t>
      </w:r>
      <w:r w:rsidRPr="00F602DE">
        <w:rPr>
          <w:szCs w:val="24"/>
        </w:rPr>
        <w:t>Táborová 428</w:t>
      </w:r>
      <w:r>
        <w:rPr>
          <w:szCs w:val="24"/>
        </w:rPr>
        <w:t>) a objekt Mateřské školy.</w:t>
      </w:r>
    </w:p>
    <w:p w:rsidR="004563A8" w:rsidRPr="00F95AAD" w:rsidRDefault="00FE316F" w:rsidP="004563A8">
      <w:pPr>
        <w:pStyle w:val="MainText"/>
        <w:numPr>
          <w:ilvl w:val="0"/>
          <w:numId w:val="21"/>
        </w:numPr>
        <w:spacing w:before="240"/>
        <w:rPr>
          <w:b/>
          <w:szCs w:val="24"/>
          <w:u w:val="single"/>
        </w:rPr>
      </w:pPr>
      <w:r>
        <w:rPr>
          <w:b/>
          <w:szCs w:val="24"/>
          <w:u w:val="single"/>
        </w:rPr>
        <w:t>Systémová specifikace technických podmínek</w:t>
      </w:r>
    </w:p>
    <w:p w:rsidR="009E3535" w:rsidRPr="00F95AAD" w:rsidRDefault="00FE316F" w:rsidP="00F84EA1">
      <w:pPr>
        <w:pStyle w:val="MainText"/>
        <w:rPr>
          <w:szCs w:val="24"/>
        </w:rPr>
      </w:pPr>
      <w:r w:rsidRPr="00FE316F">
        <w:rPr>
          <w:szCs w:val="24"/>
        </w:rPr>
        <w:t>Systémová specifikace technických podmínek</w:t>
      </w:r>
      <w:r>
        <w:rPr>
          <w:szCs w:val="24"/>
        </w:rPr>
        <w:t xml:space="preserve"> pro potřeby přípravy Zadávacích podmínek výběrového řízení je specifikována v následujících odrážkách:</w:t>
      </w:r>
    </w:p>
    <w:p w:rsidR="00143A5A" w:rsidRDefault="00FE316F" w:rsidP="00EA46E3">
      <w:pPr>
        <w:pStyle w:val="MainText"/>
        <w:numPr>
          <w:ilvl w:val="0"/>
          <w:numId w:val="30"/>
        </w:numPr>
        <w:rPr>
          <w:szCs w:val="24"/>
        </w:rPr>
      </w:pPr>
      <w:r w:rsidRPr="00FE316F">
        <w:rPr>
          <w:i/>
          <w:szCs w:val="24"/>
        </w:rPr>
        <w:t>Popis stávajícího stavu – co bude moci uchazeč použít</w:t>
      </w:r>
      <w:r>
        <w:rPr>
          <w:szCs w:val="24"/>
        </w:rPr>
        <w:t>: Vzhledem k výše popsanému předpokladu neochoty odprodeje stávajících kotelních jednotek současným provozovatelem,</w:t>
      </w:r>
      <w:r w:rsidR="00EA46E3">
        <w:rPr>
          <w:szCs w:val="24"/>
        </w:rPr>
        <w:t xml:space="preserve"> bude uchazeč moci využít. Kompletní soupis </w:t>
      </w:r>
      <w:r w:rsidR="00EA46E3" w:rsidRPr="00EA46E3">
        <w:rPr>
          <w:szCs w:val="24"/>
        </w:rPr>
        <w:t>strojního zařízení na výrobu tepelné energie</w:t>
      </w:r>
      <w:r w:rsidR="00EA46E3">
        <w:rPr>
          <w:szCs w:val="24"/>
        </w:rPr>
        <w:t xml:space="preserve"> je uveden v Příloze č. 2.</w:t>
      </w:r>
    </w:p>
    <w:p w:rsidR="00FE316F" w:rsidRPr="00FE316F" w:rsidRDefault="00FE316F" w:rsidP="00FE316F">
      <w:pPr>
        <w:pStyle w:val="MainText"/>
        <w:numPr>
          <w:ilvl w:val="1"/>
          <w:numId w:val="30"/>
        </w:numPr>
        <w:rPr>
          <w:szCs w:val="24"/>
        </w:rPr>
      </w:pPr>
      <w:r w:rsidRPr="00FE316F">
        <w:rPr>
          <w:szCs w:val="24"/>
        </w:rPr>
        <w:t>Stávající přípojku plynovodního potrubí</w:t>
      </w:r>
    </w:p>
    <w:p w:rsidR="00FE316F" w:rsidRPr="00FE316F" w:rsidRDefault="00FE316F" w:rsidP="00FE316F">
      <w:pPr>
        <w:pStyle w:val="MainText"/>
        <w:numPr>
          <w:ilvl w:val="1"/>
          <w:numId w:val="30"/>
        </w:numPr>
        <w:rPr>
          <w:szCs w:val="24"/>
        </w:rPr>
      </w:pPr>
      <w:r w:rsidRPr="00FE316F">
        <w:rPr>
          <w:szCs w:val="24"/>
        </w:rPr>
        <w:t>Stávající přípojku vodovodního potrubí</w:t>
      </w:r>
    </w:p>
    <w:p w:rsidR="00FE316F" w:rsidRPr="00FE316F" w:rsidRDefault="00FE316F" w:rsidP="00FE316F">
      <w:pPr>
        <w:pStyle w:val="MainText"/>
        <w:numPr>
          <w:ilvl w:val="1"/>
          <w:numId w:val="30"/>
        </w:numPr>
        <w:rPr>
          <w:szCs w:val="24"/>
        </w:rPr>
      </w:pPr>
      <w:r w:rsidRPr="00FE316F">
        <w:rPr>
          <w:szCs w:val="24"/>
        </w:rPr>
        <w:t>Objekt budovy kotelny (adresa: Pod Makovým vrchem č. p. 582, Holýšov. Stavební parcela č.p. 800, KÚ Holýšov) a to včetně příjezdové cesty</w:t>
      </w:r>
    </w:p>
    <w:p w:rsidR="00FE316F" w:rsidRPr="00FE316F" w:rsidRDefault="00FE316F" w:rsidP="00FE316F">
      <w:pPr>
        <w:pStyle w:val="MainText"/>
        <w:numPr>
          <w:ilvl w:val="1"/>
          <w:numId w:val="30"/>
        </w:numPr>
        <w:rPr>
          <w:szCs w:val="24"/>
        </w:rPr>
      </w:pPr>
      <w:r w:rsidRPr="00FE316F">
        <w:rPr>
          <w:szCs w:val="24"/>
        </w:rPr>
        <w:t>Stávající úpravnu vody umístěnou v objektu Kotelny</w:t>
      </w:r>
    </w:p>
    <w:p w:rsidR="00FE316F" w:rsidRDefault="00FE316F" w:rsidP="00FE316F">
      <w:pPr>
        <w:pStyle w:val="MainText"/>
        <w:numPr>
          <w:ilvl w:val="1"/>
          <w:numId w:val="30"/>
        </w:numPr>
        <w:rPr>
          <w:szCs w:val="24"/>
        </w:rPr>
      </w:pPr>
      <w:r w:rsidRPr="00FE316F">
        <w:rPr>
          <w:szCs w:val="24"/>
        </w:rPr>
        <w:t>Kolektorové rozvody tepla (centrální sběrač a rozdělovač)</w:t>
      </w:r>
    </w:p>
    <w:p w:rsidR="00B02E62" w:rsidRDefault="00246F11" w:rsidP="002832D0">
      <w:pPr>
        <w:pStyle w:val="MainText"/>
        <w:ind w:left="708"/>
        <w:rPr>
          <w:szCs w:val="24"/>
        </w:rPr>
      </w:pPr>
      <w:r>
        <w:rPr>
          <w:szCs w:val="24"/>
        </w:rPr>
        <w:t>(</w:t>
      </w:r>
      <w:r w:rsidR="00B02E62">
        <w:rPr>
          <w:szCs w:val="24"/>
        </w:rPr>
        <w:t xml:space="preserve">Pro úplnost a nezpochybnitelnost: </w:t>
      </w:r>
    </w:p>
    <w:p w:rsidR="00B02E62" w:rsidRDefault="00246F11" w:rsidP="002832D0">
      <w:pPr>
        <w:pStyle w:val="MainText"/>
        <w:ind w:left="708"/>
        <w:rPr>
          <w:szCs w:val="24"/>
        </w:rPr>
      </w:pPr>
      <w:r w:rsidRPr="00246F11">
        <w:rPr>
          <w:szCs w:val="24"/>
        </w:rPr>
        <w:t>Vlastní jednotka chemické úpravy vody je v majetku stávajícího provozovatele zdroje tepla, společnosti PPT. Vodovodní přípojka je naopak ve vlastnictví pr</w:t>
      </w:r>
      <w:r>
        <w:rPr>
          <w:szCs w:val="24"/>
        </w:rPr>
        <w:t xml:space="preserve">ovozovatele distribuce tepla, </w:t>
      </w:r>
      <w:r w:rsidRPr="00246F11">
        <w:rPr>
          <w:szCs w:val="24"/>
        </w:rPr>
        <w:t>městské společnosti MTBS, s.r.o. a voda potřebná pro úpravnu vody a dále pro potřeby doplňování této do systému, je společnosti PPT přeúčtována na základě skutečné spotřeby (podílové měření). Vodné i stočné tedy dodavateli vody platí MTBS</w:t>
      </w:r>
      <w:r>
        <w:rPr>
          <w:szCs w:val="24"/>
        </w:rPr>
        <w:t>, s.r.o</w:t>
      </w:r>
      <w:r w:rsidRPr="00246F11">
        <w:rPr>
          <w:szCs w:val="24"/>
        </w:rPr>
        <w:t>.</w:t>
      </w:r>
    </w:p>
    <w:p w:rsidR="00246F11" w:rsidRPr="00FE316F" w:rsidRDefault="00B02E62" w:rsidP="002832D0">
      <w:pPr>
        <w:pStyle w:val="MainText"/>
        <w:ind w:left="708"/>
        <w:rPr>
          <w:szCs w:val="24"/>
        </w:rPr>
      </w:pPr>
      <w:r>
        <w:rPr>
          <w:szCs w:val="24"/>
        </w:rPr>
        <w:t>N</w:t>
      </w:r>
      <w:r w:rsidRPr="00B02E62">
        <w:rPr>
          <w:szCs w:val="24"/>
        </w:rPr>
        <w:t xml:space="preserve">elze využít </w:t>
      </w:r>
      <w:r>
        <w:rPr>
          <w:szCs w:val="24"/>
        </w:rPr>
        <w:t xml:space="preserve">ani </w:t>
      </w:r>
      <w:r w:rsidRPr="00B02E62">
        <w:rPr>
          <w:szCs w:val="24"/>
        </w:rPr>
        <w:t xml:space="preserve">stávající kouřovody a spalinové cesty, neboť ty jsou </w:t>
      </w:r>
      <w:r>
        <w:rPr>
          <w:szCs w:val="24"/>
        </w:rPr>
        <w:t xml:space="preserve">také </w:t>
      </w:r>
      <w:r w:rsidRPr="00B02E62">
        <w:rPr>
          <w:szCs w:val="24"/>
        </w:rPr>
        <w:t>v majetku společnosti PPT. Předpokladem je vybudování nových spalinových cest a komínu (ů).</w:t>
      </w:r>
      <w:r w:rsidR="00246F11">
        <w:rPr>
          <w:szCs w:val="24"/>
        </w:rPr>
        <w:t>)</w:t>
      </w:r>
    </w:p>
    <w:p w:rsidR="00143A5A" w:rsidRDefault="00FE316F" w:rsidP="00FE316F">
      <w:pPr>
        <w:pStyle w:val="MainText"/>
        <w:numPr>
          <w:ilvl w:val="0"/>
          <w:numId w:val="30"/>
        </w:numPr>
        <w:rPr>
          <w:szCs w:val="24"/>
        </w:rPr>
      </w:pPr>
      <w:r w:rsidRPr="00FE316F">
        <w:rPr>
          <w:i/>
          <w:szCs w:val="24"/>
        </w:rPr>
        <w:t>Technický popis výstupu</w:t>
      </w:r>
      <w:r w:rsidR="00EA46E3">
        <w:rPr>
          <w:szCs w:val="24"/>
        </w:rPr>
        <w:t xml:space="preserve"> představuje bázová data teplárenské soustavy.</w:t>
      </w:r>
    </w:p>
    <w:p w:rsidR="00EA46E3" w:rsidRPr="00EA46E3" w:rsidRDefault="00EA46E3" w:rsidP="00EA46E3">
      <w:pPr>
        <w:pStyle w:val="MainText"/>
        <w:ind w:left="720"/>
        <w:rPr>
          <w:szCs w:val="24"/>
        </w:rPr>
      </w:pPr>
      <w:r w:rsidRPr="00EA46E3">
        <w:rPr>
          <w:szCs w:val="24"/>
        </w:rPr>
        <w:t xml:space="preserve">Místo měření: </w:t>
      </w:r>
      <w:r>
        <w:rPr>
          <w:szCs w:val="24"/>
        </w:rPr>
        <w:tab/>
      </w:r>
      <w:r w:rsidRPr="00EA46E3">
        <w:rPr>
          <w:szCs w:val="24"/>
        </w:rPr>
        <w:t xml:space="preserve">pata objektu kotelna </w:t>
      </w:r>
      <w:r w:rsidR="00B02E62">
        <w:rPr>
          <w:szCs w:val="24"/>
        </w:rPr>
        <w:t xml:space="preserve">(Pro upřesnění: </w:t>
      </w:r>
      <w:r w:rsidR="00B02E62" w:rsidRPr="00B02E62">
        <w:rPr>
          <w:szCs w:val="24"/>
        </w:rPr>
        <w:t>Měření pro dodávky tepla bude nově osazený kalorimetr na vstupu do TH rozvaděče (před RS). Přesné umístění bude stanoveno s</w:t>
      </w:r>
      <w:r w:rsidR="00B02E62">
        <w:rPr>
          <w:szCs w:val="24"/>
        </w:rPr>
        <w:t> </w:t>
      </w:r>
      <w:r w:rsidR="00B02E62" w:rsidRPr="00B02E62">
        <w:rPr>
          <w:szCs w:val="24"/>
        </w:rPr>
        <w:t>ohledem na projektovou dokumentaci (ve vyšším stupni) a bude zaneseno do Smlouvy o dodávkách tepla s</w:t>
      </w:r>
      <w:r w:rsidR="00B02E62">
        <w:rPr>
          <w:szCs w:val="24"/>
        </w:rPr>
        <w:t> </w:t>
      </w:r>
      <w:r w:rsidR="00B02E62" w:rsidRPr="00B02E62">
        <w:rPr>
          <w:szCs w:val="24"/>
        </w:rPr>
        <w:t>vítězným uchazečem ve VŘ.</w:t>
      </w:r>
      <w:r w:rsidR="00B02E62">
        <w:rPr>
          <w:szCs w:val="24"/>
        </w:rPr>
        <w:t>)</w:t>
      </w:r>
    </w:p>
    <w:p w:rsidR="00EA46E3" w:rsidRPr="00EA46E3" w:rsidRDefault="00EA46E3" w:rsidP="00EA46E3">
      <w:pPr>
        <w:pStyle w:val="MainText"/>
        <w:ind w:left="720"/>
        <w:rPr>
          <w:szCs w:val="24"/>
        </w:rPr>
      </w:pPr>
      <w:r w:rsidRPr="00EA46E3">
        <w:rPr>
          <w:szCs w:val="24"/>
        </w:rPr>
        <w:t xml:space="preserve">Místo předání: </w:t>
      </w:r>
      <w:r>
        <w:rPr>
          <w:szCs w:val="24"/>
        </w:rPr>
        <w:tab/>
      </w:r>
      <w:r w:rsidRPr="00EA46E3">
        <w:rPr>
          <w:szCs w:val="24"/>
        </w:rPr>
        <w:t xml:space="preserve">Vstup do odběrného zařízení v místě měření </w:t>
      </w:r>
    </w:p>
    <w:p w:rsidR="002832D0" w:rsidRPr="00EA46E3" w:rsidRDefault="00EA46E3" w:rsidP="002832D0">
      <w:pPr>
        <w:pStyle w:val="MainText"/>
        <w:ind w:left="720"/>
        <w:rPr>
          <w:szCs w:val="24"/>
        </w:rPr>
      </w:pPr>
      <w:r w:rsidRPr="00EA46E3">
        <w:rPr>
          <w:szCs w:val="24"/>
        </w:rPr>
        <w:t xml:space="preserve">Způsob měření: </w:t>
      </w:r>
      <w:r>
        <w:rPr>
          <w:szCs w:val="24"/>
        </w:rPr>
        <w:tab/>
      </w:r>
      <w:r w:rsidRPr="00EA46E3">
        <w:rPr>
          <w:szCs w:val="24"/>
        </w:rPr>
        <w:t>měřič spotřeby tepla  Spanner Pollux B 501</w:t>
      </w:r>
    </w:p>
    <w:p w:rsidR="00B400F8" w:rsidRDefault="00EA46E3" w:rsidP="00C84471">
      <w:pPr>
        <w:pStyle w:val="TableHeading"/>
        <w:ind w:firstLine="709"/>
        <w:rPr>
          <w:szCs w:val="24"/>
        </w:rPr>
      </w:pPr>
      <w:r w:rsidRPr="00EA46E3">
        <w:rPr>
          <w:szCs w:val="24"/>
        </w:rPr>
        <w:t xml:space="preserve"> </w:t>
      </w:r>
    </w:p>
    <w:p w:rsidR="00B400F8" w:rsidRDefault="00B400F8">
      <w:pPr>
        <w:rPr>
          <w:rFonts w:ascii="Calibri" w:eastAsia="MS Mincho" w:hAnsi="Calibri" w:cs="Arial"/>
          <w:b/>
          <w:bCs/>
          <w:i/>
          <w:sz w:val="22"/>
          <w:szCs w:val="24"/>
        </w:rPr>
      </w:pPr>
      <w:r>
        <w:rPr>
          <w:szCs w:val="24"/>
        </w:rPr>
        <w:br w:type="page"/>
      </w:r>
    </w:p>
    <w:p w:rsidR="00EA46E3" w:rsidRPr="00EA46E3" w:rsidRDefault="00EA46E3" w:rsidP="00C84471">
      <w:pPr>
        <w:pStyle w:val="TableHeading"/>
        <w:ind w:firstLine="709"/>
      </w:pPr>
      <w:r w:rsidRPr="00EA46E3">
        <w:t xml:space="preserve">Základní parametry dodávané a vrácené teplonosné látky </w:t>
      </w:r>
    </w:p>
    <w:tbl>
      <w:tblPr>
        <w:tblStyle w:val="Mkatabulky"/>
        <w:tblW w:w="7796" w:type="dxa"/>
        <w:tblInd w:w="817" w:type="dxa"/>
        <w:tblLook w:val="04A0" w:firstRow="1" w:lastRow="0" w:firstColumn="1" w:lastColumn="0" w:noHBand="0" w:noVBand="1"/>
      </w:tblPr>
      <w:tblGrid>
        <w:gridCol w:w="5528"/>
        <w:gridCol w:w="993"/>
        <w:gridCol w:w="1275"/>
      </w:tblGrid>
      <w:tr w:rsidR="00EA46E3" w:rsidTr="00EA46E3">
        <w:tc>
          <w:tcPr>
            <w:tcW w:w="5528" w:type="dxa"/>
            <w:vAlign w:val="center"/>
          </w:tcPr>
          <w:p w:rsidR="00EA46E3" w:rsidRPr="00B83B7F" w:rsidRDefault="00EA46E3" w:rsidP="00EA46E3">
            <w:r>
              <w:t>Teplonosné médium</w:t>
            </w:r>
          </w:p>
        </w:tc>
        <w:tc>
          <w:tcPr>
            <w:tcW w:w="993" w:type="dxa"/>
          </w:tcPr>
          <w:p w:rsidR="00EA46E3" w:rsidRPr="00EA46E3" w:rsidRDefault="00EA46E3" w:rsidP="00EA46E3">
            <w:pPr>
              <w:jc w:val="center"/>
              <w:rPr>
                <w:i/>
              </w:rPr>
            </w:pPr>
            <w:r w:rsidRPr="00EA46E3">
              <w:rPr>
                <w:i/>
              </w:rPr>
              <w:t>n/a</w:t>
            </w:r>
          </w:p>
        </w:tc>
        <w:tc>
          <w:tcPr>
            <w:tcW w:w="1275" w:type="dxa"/>
          </w:tcPr>
          <w:p w:rsidR="00EA46E3" w:rsidRPr="00B83B7F" w:rsidRDefault="00EA46E3" w:rsidP="00D436D8">
            <w:r>
              <w:t>Voda</w:t>
            </w:r>
          </w:p>
        </w:tc>
      </w:tr>
      <w:tr w:rsidR="00EA46E3" w:rsidTr="00EA46E3">
        <w:tc>
          <w:tcPr>
            <w:tcW w:w="5528" w:type="dxa"/>
            <w:vAlign w:val="center"/>
          </w:tcPr>
          <w:p w:rsidR="00EA46E3" w:rsidRPr="00B83B7F" w:rsidRDefault="00EA46E3" w:rsidP="00D436D8">
            <w:r>
              <w:t>Tlak otopné soustavy</w:t>
            </w:r>
          </w:p>
        </w:tc>
        <w:tc>
          <w:tcPr>
            <w:tcW w:w="993" w:type="dxa"/>
          </w:tcPr>
          <w:p w:rsidR="00EA46E3" w:rsidRPr="00EA46E3" w:rsidRDefault="00EA46E3" w:rsidP="00EA46E3">
            <w:pPr>
              <w:jc w:val="center"/>
              <w:rPr>
                <w:i/>
              </w:rPr>
            </w:pPr>
            <w:r w:rsidRPr="00EA46E3">
              <w:rPr>
                <w:i/>
              </w:rPr>
              <w:t>MPa</w:t>
            </w:r>
          </w:p>
        </w:tc>
        <w:tc>
          <w:tcPr>
            <w:tcW w:w="1275" w:type="dxa"/>
          </w:tcPr>
          <w:p w:rsidR="00EA46E3" w:rsidRPr="00B83B7F" w:rsidRDefault="00EA46E3" w:rsidP="00D436D8">
            <w:r>
              <w:t>0,45</w:t>
            </w:r>
          </w:p>
        </w:tc>
      </w:tr>
      <w:tr w:rsidR="00EA46E3" w:rsidTr="00EA46E3">
        <w:tc>
          <w:tcPr>
            <w:tcW w:w="5528" w:type="dxa"/>
            <w:vAlign w:val="center"/>
          </w:tcPr>
          <w:p w:rsidR="00EA46E3" w:rsidRDefault="00EA46E3" w:rsidP="00D436D8">
            <w:r>
              <w:t>Talková diference</w:t>
            </w:r>
          </w:p>
        </w:tc>
        <w:tc>
          <w:tcPr>
            <w:tcW w:w="993" w:type="dxa"/>
          </w:tcPr>
          <w:p w:rsidR="00EA46E3" w:rsidRPr="00EA46E3" w:rsidRDefault="00EA46E3" w:rsidP="00EA46E3">
            <w:pPr>
              <w:jc w:val="center"/>
              <w:rPr>
                <w:i/>
              </w:rPr>
            </w:pPr>
            <w:r>
              <w:rPr>
                <w:i/>
              </w:rPr>
              <w:t>MPa</w:t>
            </w:r>
          </w:p>
        </w:tc>
        <w:tc>
          <w:tcPr>
            <w:tcW w:w="1275" w:type="dxa"/>
          </w:tcPr>
          <w:p w:rsidR="00EA46E3" w:rsidRDefault="00EA46E3" w:rsidP="00D436D8">
            <w:r>
              <w:t>0,10</w:t>
            </w:r>
          </w:p>
        </w:tc>
      </w:tr>
      <w:tr w:rsidR="00EA46E3" w:rsidTr="00EA46E3">
        <w:tc>
          <w:tcPr>
            <w:tcW w:w="5528" w:type="dxa"/>
            <w:vAlign w:val="center"/>
          </w:tcPr>
          <w:p w:rsidR="00EA46E3" w:rsidRPr="00B83B7F" w:rsidRDefault="00EA46E3" w:rsidP="00D436D8">
            <w:r>
              <w:t>Součtový tepelný výkon soustavy</w:t>
            </w:r>
          </w:p>
        </w:tc>
        <w:tc>
          <w:tcPr>
            <w:tcW w:w="993" w:type="dxa"/>
          </w:tcPr>
          <w:p w:rsidR="00EA46E3" w:rsidRPr="00EA46E3" w:rsidRDefault="00EA46E3" w:rsidP="00EA46E3">
            <w:pPr>
              <w:jc w:val="center"/>
              <w:rPr>
                <w:i/>
              </w:rPr>
            </w:pPr>
            <w:r>
              <w:rPr>
                <w:i/>
              </w:rPr>
              <w:t>MW</w:t>
            </w:r>
            <w:r w:rsidRPr="00EA46E3">
              <w:rPr>
                <w:i/>
                <w:vertAlign w:val="subscript"/>
              </w:rPr>
              <w:t>t</w:t>
            </w:r>
          </w:p>
        </w:tc>
        <w:tc>
          <w:tcPr>
            <w:tcW w:w="1275" w:type="dxa"/>
          </w:tcPr>
          <w:p w:rsidR="00EA46E3" w:rsidRPr="00B83B7F" w:rsidRDefault="00EA46E3" w:rsidP="00D436D8">
            <w:r>
              <w:t>3,9</w:t>
            </w:r>
          </w:p>
        </w:tc>
      </w:tr>
      <w:tr w:rsidR="00EA46E3" w:rsidTr="00EA46E3">
        <w:tc>
          <w:tcPr>
            <w:tcW w:w="5528" w:type="dxa"/>
            <w:vAlign w:val="center"/>
          </w:tcPr>
          <w:p w:rsidR="00EA46E3" w:rsidRDefault="00EA46E3" w:rsidP="00D436D8">
            <w:r>
              <w:t>Objemový průtok tepelné soustavy</w:t>
            </w:r>
          </w:p>
        </w:tc>
        <w:tc>
          <w:tcPr>
            <w:tcW w:w="993" w:type="dxa"/>
          </w:tcPr>
          <w:p w:rsidR="00EA46E3" w:rsidRPr="00EA46E3" w:rsidRDefault="00EA46E3" w:rsidP="00EA46E3">
            <w:pPr>
              <w:jc w:val="center"/>
              <w:rPr>
                <w:i/>
              </w:rPr>
            </w:pPr>
            <w:r w:rsidRPr="00EA46E3">
              <w:rPr>
                <w:i/>
              </w:rPr>
              <w:t>m</w:t>
            </w:r>
            <w:r w:rsidRPr="00EA46E3">
              <w:rPr>
                <w:i/>
                <w:vertAlign w:val="superscript"/>
              </w:rPr>
              <w:t>3</w:t>
            </w:r>
            <w:r w:rsidRPr="00EA46E3">
              <w:rPr>
                <w:i/>
              </w:rPr>
              <w:t>/hod</w:t>
            </w:r>
          </w:p>
        </w:tc>
        <w:tc>
          <w:tcPr>
            <w:tcW w:w="1275" w:type="dxa"/>
          </w:tcPr>
          <w:p w:rsidR="00EA46E3" w:rsidRDefault="00EA46E3" w:rsidP="00D436D8">
            <w:r>
              <w:t>93,5</w:t>
            </w:r>
          </w:p>
        </w:tc>
      </w:tr>
      <w:tr w:rsidR="00EA46E3" w:rsidTr="00EA46E3">
        <w:tc>
          <w:tcPr>
            <w:tcW w:w="5528" w:type="dxa"/>
            <w:vAlign w:val="center"/>
          </w:tcPr>
          <w:p w:rsidR="00EA46E3" w:rsidRDefault="00EA46E3" w:rsidP="00D436D8">
            <w:r w:rsidRPr="00EA46E3">
              <w:t>Normovaný teplotní spád</w:t>
            </w:r>
          </w:p>
        </w:tc>
        <w:tc>
          <w:tcPr>
            <w:tcW w:w="993" w:type="dxa"/>
          </w:tcPr>
          <w:p w:rsidR="00EA46E3" w:rsidRPr="00EA46E3" w:rsidRDefault="00EA46E3" w:rsidP="00EA46E3">
            <w:pPr>
              <w:jc w:val="center"/>
              <w:rPr>
                <w:i/>
              </w:rPr>
            </w:pPr>
            <w:r w:rsidRPr="00EA46E3">
              <w:rPr>
                <w:szCs w:val="24"/>
              </w:rPr>
              <w:t>°C</w:t>
            </w:r>
          </w:p>
        </w:tc>
        <w:tc>
          <w:tcPr>
            <w:tcW w:w="1275" w:type="dxa"/>
          </w:tcPr>
          <w:p w:rsidR="00EA46E3" w:rsidRDefault="00EA46E3" w:rsidP="00D436D8">
            <w:r w:rsidRPr="00EA46E3">
              <w:rPr>
                <w:szCs w:val="24"/>
              </w:rPr>
              <w:t>90/70</w:t>
            </w:r>
          </w:p>
        </w:tc>
      </w:tr>
      <w:tr w:rsidR="00EA46E3" w:rsidTr="00EA46E3">
        <w:tc>
          <w:tcPr>
            <w:tcW w:w="5528" w:type="dxa"/>
            <w:vAlign w:val="center"/>
          </w:tcPr>
          <w:p w:rsidR="00EA46E3" w:rsidRPr="00B83B7F" w:rsidRDefault="00EA46E3" w:rsidP="00D436D8">
            <w:r>
              <w:t>Teplotní spád při výpočtovém minimu teplot</w:t>
            </w:r>
          </w:p>
        </w:tc>
        <w:tc>
          <w:tcPr>
            <w:tcW w:w="993" w:type="dxa"/>
          </w:tcPr>
          <w:p w:rsidR="00EA46E3" w:rsidRPr="00EA46E3" w:rsidRDefault="00EA46E3" w:rsidP="00EA46E3">
            <w:pPr>
              <w:jc w:val="center"/>
              <w:rPr>
                <w:i/>
              </w:rPr>
            </w:pPr>
            <w:r w:rsidRPr="00EA46E3">
              <w:rPr>
                <w:szCs w:val="24"/>
              </w:rPr>
              <w:t>°C</w:t>
            </w:r>
          </w:p>
        </w:tc>
        <w:tc>
          <w:tcPr>
            <w:tcW w:w="1275" w:type="dxa"/>
          </w:tcPr>
          <w:p w:rsidR="00EA46E3" w:rsidRPr="00B83B7F" w:rsidRDefault="00EA46E3" w:rsidP="00D436D8">
            <w:r w:rsidRPr="00EA46E3">
              <w:rPr>
                <w:szCs w:val="24"/>
              </w:rPr>
              <w:t xml:space="preserve">80/60  </w:t>
            </w:r>
          </w:p>
        </w:tc>
      </w:tr>
      <w:tr w:rsidR="00EA46E3" w:rsidTr="00EA46E3">
        <w:tc>
          <w:tcPr>
            <w:tcW w:w="5528" w:type="dxa"/>
            <w:vAlign w:val="center"/>
          </w:tcPr>
          <w:p w:rsidR="00EA46E3" w:rsidRPr="00B83B7F" w:rsidRDefault="00EA46E3" w:rsidP="00EA46E3">
            <w:r w:rsidRPr="00EA46E3">
              <w:t xml:space="preserve">Předpokládaná roční </w:t>
            </w:r>
            <w:r>
              <w:t>výroba</w:t>
            </w:r>
            <w:r w:rsidRPr="00EA46E3">
              <w:t xml:space="preserve"> tepelné energie</w:t>
            </w:r>
          </w:p>
        </w:tc>
        <w:tc>
          <w:tcPr>
            <w:tcW w:w="993" w:type="dxa"/>
          </w:tcPr>
          <w:p w:rsidR="00EA46E3" w:rsidRPr="00EA46E3" w:rsidRDefault="00EA46E3" w:rsidP="00EA46E3">
            <w:pPr>
              <w:jc w:val="center"/>
              <w:rPr>
                <w:i/>
              </w:rPr>
            </w:pPr>
            <w:r>
              <w:rPr>
                <w:i/>
              </w:rPr>
              <w:t>GJ</w:t>
            </w:r>
          </w:p>
        </w:tc>
        <w:tc>
          <w:tcPr>
            <w:tcW w:w="1275" w:type="dxa"/>
          </w:tcPr>
          <w:p w:rsidR="00EA46E3" w:rsidRPr="00B83B7F" w:rsidRDefault="00EA46E3" w:rsidP="00D436D8">
            <w:r>
              <w:t>22 000</w:t>
            </w:r>
          </w:p>
        </w:tc>
      </w:tr>
    </w:tbl>
    <w:p w:rsidR="00EA46E3" w:rsidRPr="00EA46E3" w:rsidRDefault="00EA46E3" w:rsidP="00EA46E3">
      <w:pPr>
        <w:pStyle w:val="MainText"/>
        <w:ind w:left="720"/>
        <w:rPr>
          <w:szCs w:val="24"/>
        </w:rPr>
      </w:pPr>
    </w:p>
    <w:p w:rsidR="00EA46E3" w:rsidRPr="00FE316F" w:rsidRDefault="00C84471" w:rsidP="00FE316F">
      <w:pPr>
        <w:pStyle w:val="MainText"/>
        <w:numPr>
          <w:ilvl w:val="0"/>
          <w:numId w:val="30"/>
        </w:numPr>
        <w:rPr>
          <w:szCs w:val="24"/>
        </w:rPr>
      </w:pPr>
      <w:r>
        <w:rPr>
          <w:i/>
          <w:szCs w:val="24"/>
        </w:rPr>
        <w:t>Technický popis distribuční soustavy tepla a požadavky na uchazeče z hlediska distribuční sítě nejsou v tomto případě relevantní, neboť před výběrového řízení nezahrnuje problematiku rozvodů tepla, které zůstanou v gesci MTBS.</w:t>
      </w:r>
    </w:p>
    <w:p w:rsidR="00143A5A" w:rsidRPr="00FE316F" w:rsidRDefault="00C84471" w:rsidP="00FE316F">
      <w:pPr>
        <w:pStyle w:val="MainText"/>
        <w:numPr>
          <w:ilvl w:val="0"/>
          <w:numId w:val="30"/>
        </w:numPr>
        <w:rPr>
          <w:szCs w:val="24"/>
        </w:rPr>
      </w:pPr>
      <w:r w:rsidRPr="00C84471">
        <w:rPr>
          <w:i/>
          <w:szCs w:val="24"/>
        </w:rPr>
        <w:t>Definice výstupního stavu</w:t>
      </w:r>
      <w:r w:rsidR="00097A44">
        <w:rPr>
          <w:i/>
          <w:szCs w:val="24"/>
        </w:rPr>
        <w:t xml:space="preserve"> předmětu VŘ</w:t>
      </w:r>
      <w:r>
        <w:rPr>
          <w:szCs w:val="24"/>
        </w:rPr>
        <w:t xml:space="preserve">: Nový zdroj tepla splňující technické parametry dodávek tepla dle tabulky č. </w:t>
      </w:r>
      <w:r w:rsidR="00246F11">
        <w:rPr>
          <w:szCs w:val="24"/>
        </w:rPr>
        <w:t>3</w:t>
      </w:r>
      <w:r>
        <w:rPr>
          <w:szCs w:val="24"/>
        </w:rPr>
        <w:t xml:space="preserve"> nabídnutý uchazečem prostřednictvím služby Energy Contracting. Kalkulovaná délka kontraktu je 15 let při uvažování principu BOT (Built-Operate-Transfer), tedy režim, kdy uchazeč na vlastní náklady zrealizuje investici, po dobu 15 let bude provozovat v režimu licence na výrobu tepla (resp. na výrobu tepla a elektřiny) zdroj tepla a </w:t>
      </w:r>
      <w:r w:rsidR="00097A44">
        <w:rPr>
          <w:szCs w:val="24"/>
        </w:rPr>
        <w:t>po uplynutí délky kontraktu nabídne převedení (odkup) technologie městu Holýšov za 1000 Kč.  Hlavním sledovaným parametrem nabízeného kontraktu bude cena tepla, dále pak princip konstrukce indexování – meziroční změny ceny tepla, hodnota investovaného majetku, měrné ukazatele energetické efektivnosti, záruky a garance.</w:t>
      </w:r>
    </w:p>
    <w:p w:rsidR="00097A44" w:rsidRDefault="00097A44" w:rsidP="00FE316F">
      <w:pPr>
        <w:pStyle w:val="MainText"/>
        <w:numPr>
          <w:ilvl w:val="0"/>
          <w:numId w:val="30"/>
        </w:numPr>
        <w:rPr>
          <w:szCs w:val="24"/>
        </w:rPr>
      </w:pPr>
      <w:r w:rsidRPr="00097A44">
        <w:rPr>
          <w:i/>
          <w:szCs w:val="24"/>
        </w:rPr>
        <w:t>Výpis objektů pro výkon činnosti uchazeče</w:t>
      </w:r>
      <w:r>
        <w:rPr>
          <w:szCs w:val="24"/>
        </w:rPr>
        <w:t>: Vzhledem ke skutečnosti, že se jedná pouze o umístění zdroje ve stávající kotelně, je místem výkonu činnosti objekt:</w:t>
      </w:r>
    </w:p>
    <w:p w:rsidR="00143A5A" w:rsidRDefault="00097A44" w:rsidP="00097A44">
      <w:pPr>
        <w:pStyle w:val="MainText"/>
        <w:ind w:left="720" w:firstLine="696"/>
        <w:rPr>
          <w:szCs w:val="24"/>
        </w:rPr>
      </w:pPr>
      <w:r>
        <w:rPr>
          <w:i/>
          <w:szCs w:val="24"/>
        </w:rPr>
        <w:t>Adresa</w:t>
      </w:r>
      <w:r w:rsidRPr="00097A44">
        <w:rPr>
          <w:szCs w:val="24"/>
        </w:rPr>
        <w:t>:</w:t>
      </w:r>
      <w:r>
        <w:rPr>
          <w:szCs w:val="24"/>
        </w:rPr>
        <w:t xml:space="preserve"> </w:t>
      </w:r>
      <w:r w:rsidRPr="00097A44">
        <w:rPr>
          <w:szCs w:val="24"/>
        </w:rPr>
        <w:t>Pod Makovým vrchem č. p. 582, Holýšov</w:t>
      </w:r>
    </w:p>
    <w:p w:rsidR="00097A44" w:rsidRDefault="00097A44" w:rsidP="00097A44">
      <w:pPr>
        <w:pStyle w:val="MainText"/>
        <w:ind w:left="720" w:firstLine="696"/>
        <w:rPr>
          <w:szCs w:val="24"/>
        </w:rPr>
      </w:pPr>
      <w:r>
        <w:rPr>
          <w:i/>
          <w:szCs w:val="24"/>
        </w:rPr>
        <w:t>Parcela</w:t>
      </w:r>
      <w:r w:rsidRPr="00097A44">
        <w:rPr>
          <w:szCs w:val="24"/>
        </w:rPr>
        <w:t>:</w:t>
      </w:r>
      <w:r>
        <w:rPr>
          <w:szCs w:val="24"/>
        </w:rPr>
        <w:t xml:space="preserve"> s.p.č. 800, KÚ Holýšov </w:t>
      </w:r>
      <w:r w:rsidRPr="00097A44">
        <w:rPr>
          <w:szCs w:val="24"/>
        </w:rPr>
        <w:t>[641553]</w:t>
      </w:r>
    </w:p>
    <w:p w:rsidR="00097A44" w:rsidRDefault="00097A44" w:rsidP="00097A44">
      <w:pPr>
        <w:pStyle w:val="MainText"/>
        <w:ind w:left="720" w:firstLine="696"/>
        <w:rPr>
          <w:szCs w:val="24"/>
        </w:rPr>
      </w:pPr>
      <w:r>
        <w:rPr>
          <w:noProof/>
          <w:lang w:eastAsia="cs-CZ"/>
        </w:rPr>
        <w:drawing>
          <wp:inline distT="0" distB="0" distL="0" distR="0" wp14:anchorId="67CCBA34" wp14:editId="341041D2">
            <wp:extent cx="4441252" cy="3295290"/>
            <wp:effectExtent l="0" t="0" r="0" b="63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45646" cy="3298551"/>
                    </a:xfrm>
                    <a:prstGeom prst="rect">
                      <a:avLst/>
                    </a:prstGeom>
                  </pic:spPr>
                </pic:pic>
              </a:graphicData>
            </a:graphic>
          </wp:inline>
        </w:drawing>
      </w:r>
    </w:p>
    <w:p w:rsidR="00097A44" w:rsidRDefault="00097A44" w:rsidP="00097A44">
      <w:pPr>
        <w:pStyle w:val="MainText"/>
        <w:ind w:left="1416"/>
        <w:rPr>
          <w:szCs w:val="24"/>
        </w:rPr>
      </w:pPr>
      <w:r>
        <w:rPr>
          <w:szCs w:val="24"/>
        </w:rPr>
        <w:t xml:space="preserve">Přístupová parcela (p.č. 1145/2, KÚ Holýšov) je též ve vlastnictví Města Holýšov a na žádnou ze sledovaných parcel nejsou </w:t>
      </w:r>
      <w:r w:rsidRPr="00097A44">
        <w:rPr>
          <w:szCs w:val="24"/>
        </w:rPr>
        <w:t>evidovány žádné způsoby ochrany</w:t>
      </w:r>
      <w:r w:rsidR="00D94C52">
        <w:rPr>
          <w:szCs w:val="24"/>
        </w:rPr>
        <w:t xml:space="preserve"> nemovitosti</w:t>
      </w:r>
      <w:r>
        <w:rPr>
          <w:szCs w:val="24"/>
        </w:rPr>
        <w:t xml:space="preserve">, nejsou evidována žádná omezení </w:t>
      </w:r>
      <w:r w:rsidR="00D94C52">
        <w:rPr>
          <w:szCs w:val="24"/>
        </w:rPr>
        <w:t xml:space="preserve">vlastnického práva </w:t>
      </w:r>
      <w:r>
        <w:rPr>
          <w:szCs w:val="24"/>
        </w:rPr>
        <w:t xml:space="preserve">a ani </w:t>
      </w:r>
      <w:r w:rsidR="00D94C52">
        <w:rPr>
          <w:szCs w:val="24"/>
        </w:rPr>
        <w:t xml:space="preserve">nejsou </w:t>
      </w:r>
      <w:r w:rsidR="00D94C52" w:rsidRPr="00D94C52">
        <w:rPr>
          <w:szCs w:val="24"/>
        </w:rPr>
        <w:t>evidovány žádné jiné zápisy.</w:t>
      </w:r>
      <w:r w:rsidR="00B02E62" w:rsidRPr="00B02E62">
        <w:t xml:space="preserve"> </w:t>
      </w:r>
      <w:r w:rsidR="00B02E62">
        <w:t>S</w:t>
      </w:r>
      <w:r w:rsidR="00B02E62" w:rsidRPr="00B02E62">
        <w:rPr>
          <w:szCs w:val="24"/>
        </w:rPr>
        <w:t>tatický posudek na objekt kotelny není k dispozici.</w:t>
      </w:r>
    </w:p>
    <w:p w:rsidR="00FA638F" w:rsidRPr="00FA638F" w:rsidRDefault="00FA638F" w:rsidP="002832D0">
      <w:pPr>
        <w:pStyle w:val="MainText"/>
        <w:numPr>
          <w:ilvl w:val="0"/>
          <w:numId w:val="30"/>
        </w:numPr>
        <w:rPr>
          <w:szCs w:val="24"/>
        </w:rPr>
      </w:pPr>
      <w:r w:rsidRPr="002832D0">
        <w:rPr>
          <w:i/>
          <w:szCs w:val="24"/>
        </w:rPr>
        <w:t>Plynová infrastruktura</w:t>
      </w:r>
      <w:r w:rsidRPr="00FA638F">
        <w:rPr>
          <w:szCs w:val="24"/>
        </w:rPr>
        <w:t xml:space="preserve"> – plynová přípojka je ve vlastnictví distribuční společnosti (RWE). Hlavní uzávěr plynu je ve vlastnictví současného provozovatele zdroje, společnosti PPT. Předávací místo pro odběr plynu je v současnosti HUP. Pro zřízení nového odběrného místa existují dvě varianty, a to připojení za stávající HUP (po dohodě s </w:t>
      </w:r>
      <w:r w:rsidR="00246F11" w:rsidRPr="00FA638F">
        <w:rPr>
          <w:szCs w:val="24"/>
        </w:rPr>
        <w:t>PPT)</w:t>
      </w:r>
      <w:r w:rsidR="00246F11">
        <w:rPr>
          <w:szCs w:val="24"/>
        </w:rPr>
        <w:t>,</w:t>
      </w:r>
      <w:r w:rsidR="00246F11" w:rsidRPr="00FA638F">
        <w:rPr>
          <w:szCs w:val="24"/>
        </w:rPr>
        <w:t xml:space="preserve"> anebo zřízení</w:t>
      </w:r>
      <w:r w:rsidRPr="00FA638F">
        <w:rPr>
          <w:szCs w:val="24"/>
        </w:rPr>
        <w:t xml:space="preserve"> nového odběrného místa a nového HUP. Dle stávajících informací </w:t>
      </w:r>
      <w:r w:rsidR="00246F11">
        <w:rPr>
          <w:szCs w:val="24"/>
        </w:rPr>
        <w:t xml:space="preserve">se </w:t>
      </w:r>
      <w:r w:rsidRPr="00FA638F">
        <w:rPr>
          <w:szCs w:val="24"/>
        </w:rPr>
        <w:t xml:space="preserve">společnost PPT brání možnosti využití jejich HUP. </w:t>
      </w:r>
    </w:p>
    <w:p w:rsidR="00097A44" w:rsidRPr="00FE316F" w:rsidRDefault="00097A44" w:rsidP="00097A44">
      <w:pPr>
        <w:pStyle w:val="MainText"/>
        <w:ind w:left="720" w:firstLine="696"/>
        <w:rPr>
          <w:szCs w:val="24"/>
        </w:rPr>
      </w:pPr>
    </w:p>
    <w:p w:rsidR="008F443F" w:rsidRPr="00F95AAD" w:rsidRDefault="008F443F" w:rsidP="00BD66C3">
      <w:pPr>
        <w:pStyle w:val="MainText"/>
        <w:rPr>
          <w:szCs w:val="24"/>
        </w:rPr>
      </w:pPr>
    </w:p>
    <w:p w:rsidR="00BD66C3" w:rsidRPr="00F95AAD" w:rsidRDefault="00097A44" w:rsidP="00BD66C3">
      <w:pPr>
        <w:pStyle w:val="MainText"/>
        <w:rPr>
          <w:szCs w:val="24"/>
        </w:rPr>
      </w:pPr>
      <w:r>
        <w:rPr>
          <w:szCs w:val="24"/>
        </w:rPr>
        <w:t xml:space="preserve">Zpracoval dne </w:t>
      </w:r>
      <w:r w:rsidR="00591AA9">
        <w:rPr>
          <w:szCs w:val="24"/>
        </w:rPr>
        <w:t>5</w:t>
      </w:r>
      <w:r>
        <w:rPr>
          <w:szCs w:val="24"/>
        </w:rPr>
        <w:t>.</w:t>
      </w:r>
      <w:r w:rsidR="00591AA9">
        <w:rPr>
          <w:szCs w:val="24"/>
        </w:rPr>
        <w:t>1</w:t>
      </w:r>
      <w:r>
        <w:rPr>
          <w:szCs w:val="24"/>
        </w:rPr>
        <w:t>.201</w:t>
      </w:r>
      <w:r w:rsidR="00591AA9">
        <w:rPr>
          <w:szCs w:val="24"/>
        </w:rPr>
        <w:t>8</w:t>
      </w:r>
    </w:p>
    <w:p w:rsidR="00481468" w:rsidRPr="00F95AAD" w:rsidRDefault="00097A44" w:rsidP="00BD66C3">
      <w:pPr>
        <w:pStyle w:val="Letterbodyparagraphs"/>
        <w:spacing w:after="120"/>
        <w:jc w:val="both"/>
        <w:rPr>
          <w:rFonts w:ascii="Calibri" w:hAnsi="Calibri" w:cs="Calibri"/>
          <w:sz w:val="24"/>
          <w:szCs w:val="24"/>
          <w:lang w:val="cs-CZ"/>
        </w:rPr>
      </w:pPr>
      <w:r>
        <w:rPr>
          <w:rFonts w:ascii="Calibri" w:hAnsi="Calibri" w:cs="Calibri"/>
          <w:sz w:val="24"/>
          <w:szCs w:val="24"/>
          <w:lang w:val="cs-CZ"/>
        </w:rPr>
        <w:t>I</w:t>
      </w:r>
      <w:r w:rsidR="00BD66C3" w:rsidRPr="00F95AAD">
        <w:rPr>
          <w:rFonts w:ascii="Calibri" w:hAnsi="Calibri" w:cs="Calibri"/>
          <w:sz w:val="24"/>
          <w:szCs w:val="24"/>
          <w:lang w:val="cs-CZ"/>
        </w:rPr>
        <w:t xml:space="preserve">ng. </w:t>
      </w:r>
      <w:r w:rsidR="006342CF" w:rsidRPr="00F95AAD">
        <w:rPr>
          <w:rFonts w:ascii="Calibri" w:hAnsi="Calibri" w:cs="Calibri"/>
          <w:sz w:val="24"/>
          <w:szCs w:val="24"/>
          <w:lang w:val="cs-CZ"/>
        </w:rPr>
        <w:t>Michal Šváb</w:t>
      </w:r>
      <w:r>
        <w:rPr>
          <w:rFonts w:ascii="Calibri" w:hAnsi="Calibri" w:cs="Calibri"/>
          <w:sz w:val="24"/>
          <w:szCs w:val="24"/>
          <w:lang w:val="cs-CZ"/>
        </w:rPr>
        <w:t>,</w:t>
      </w:r>
      <w:r w:rsidRPr="00097A44">
        <w:rPr>
          <w:rFonts w:ascii="Calibri" w:hAnsi="Calibri" w:cs="Calibri"/>
          <w:sz w:val="24"/>
          <w:szCs w:val="24"/>
          <w:lang w:val="cs-CZ"/>
        </w:rPr>
        <w:t xml:space="preserve"> </w:t>
      </w:r>
      <w:r w:rsidRPr="00F95AAD">
        <w:rPr>
          <w:rFonts w:ascii="Calibri" w:hAnsi="Calibri" w:cs="Calibri"/>
          <w:sz w:val="24"/>
          <w:szCs w:val="24"/>
          <w:lang w:val="cs-CZ"/>
        </w:rPr>
        <w:t>ENACO, s.r.o.</w:t>
      </w:r>
    </w:p>
    <w:p w:rsidR="002832D0" w:rsidRDefault="00097A44" w:rsidP="00BD66C3">
      <w:pPr>
        <w:pStyle w:val="Letterbodyparagraphs"/>
        <w:spacing w:after="120"/>
        <w:jc w:val="both"/>
        <w:rPr>
          <w:rFonts w:ascii="Calibri" w:hAnsi="Calibri" w:cs="Calibri"/>
          <w:sz w:val="24"/>
          <w:szCs w:val="24"/>
          <w:lang w:val="cs-CZ"/>
        </w:rPr>
      </w:pPr>
      <w:r w:rsidRPr="00F95AAD">
        <w:rPr>
          <w:rFonts w:ascii="Calibri" w:eastAsia="MS Mincho" w:hAnsi="Calibri"/>
          <w:b/>
          <w:noProof/>
          <w:spacing w:val="10"/>
          <w:sz w:val="24"/>
          <w:szCs w:val="24"/>
          <w:lang w:val="cs-CZ" w:eastAsia="cs-CZ"/>
        </w:rPr>
        <w:drawing>
          <wp:inline distT="0" distB="0" distL="0" distR="0" wp14:anchorId="6EB9E276" wp14:editId="6C31CC84">
            <wp:extent cx="2579370" cy="74358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579370" cy="743585"/>
                    </a:xfrm>
                    <a:prstGeom prst="rect">
                      <a:avLst/>
                    </a:prstGeom>
                    <a:noFill/>
                    <a:ln>
                      <a:noFill/>
                    </a:ln>
                  </pic:spPr>
                </pic:pic>
              </a:graphicData>
            </a:graphic>
          </wp:inline>
        </w:drawing>
      </w:r>
    </w:p>
    <w:p w:rsidR="002832D0" w:rsidRDefault="002832D0">
      <w:pPr>
        <w:rPr>
          <w:rFonts w:ascii="Calibri" w:eastAsia="Times New Roman" w:hAnsi="Calibri" w:cs="Calibri"/>
          <w:szCs w:val="24"/>
          <w:lang w:eastAsia="en-GB"/>
        </w:rPr>
      </w:pPr>
      <w:r>
        <w:rPr>
          <w:rFonts w:ascii="Calibri" w:hAnsi="Calibri" w:cs="Calibri"/>
          <w:szCs w:val="24"/>
        </w:rPr>
        <w:br w:type="page"/>
      </w:r>
    </w:p>
    <w:p w:rsidR="00D03192" w:rsidRDefault="00D03192" w:rsidP="00BD66C3">
      <w:pPr>
        <w:pStyle w:val="Letterbodyparagraphs"/>
        <w:spacing w:after="120"/>
        <w:jc w:val="both"/>
        <w:rPr>
          <w:rFonts w:ascii="Calibri" w:hAnsi="Calibri" w:cs="Calibri"/>
          <w:sz w:val="24"/>
          <w:szCs w:val="24"/>
          <w:lang w:val="cs-CZ"/>
        </w:rPr>
      </w:pPr>
    </w:p>
    <w:p w:rsidR="00D522AE" w:rsidRDefault="00D522AE" w:rsidP="00BD66C3">
      <w:pPr>
        <w:pStyle w:val="Letterbodyparagraphs"/>
        <w:spacing w:after="120"/>
        <w:jc w:val="both"/>
        <w:rPr>
          <w:rFonts w:ascii="Calibri" w:hAnsi="Calibri" w:cs="Calibri"/>
          <w:b/>
          <w:sz w:val="24"/>
          <w:szCs w:val="24"/>
          <w:lang w:val="cs-CZ"/>
        </w:rPr>
      </w:pPr>
      <w:r w:rsidRPr="0040332E">
        <w:rPr>
          <w:rFonts w:ascii="Calibri" w:hAnsi="Calibri" w:cs="Calibri"/>
          <w:b/>
          <w:sz w:val="24"/>
          <w:szCs w:val="24"/>
          <w:lang w:val="cs-CZ"/>
        </w:rPr>
        <w:t xml:space="preserve">Příloha č. 1 </w:t>
      </w:r>
      <w:r w:rsidR="0040332E" w:rsidRPr="0040332E">
        <w:rPr>
          <w:rFonts w:ascii="Calibri" w:hAnsi="Calibri" w:cs="Calibri"/>
          <w:b/>
          <w:sz w:val="24"/>
          <w:szCs w:val="24"/>
          <w:lang w:val="cs-CZ"/>
        </w:rPr>
        <w:t xml:space="preserve"> - Fotodokumentace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26"/>
      </w:tblGrid>
      <w:tr w:rsidR="0040332E" w:rsidRPr="00BE491B" w:rsidTr="00D436D8">
        <w:tc>
          <w:tcPr>
            <w:tcW w:w="4626" w:type="dxa"/>
          </w:tcPr>
          <w:p w:rsidR="0040332E" w:rsidRPr="00BE491B" w:rsidRDefault="0040332E" w:rsidP="00D436D8">
            <w:pPr>
              <w:pStyle w:val="MainText"/>
              <w:rPr>
                <w:i/>
              </w:rPr>
            </w:pPr>
            <w:r w:rsidRPr="00BE491B">
              <w:rPr>
                <w:i/>
                <w:noProof/>
                <w:lang w:eastAsia="cs-CZ"/>
              </w:rPr>
              <w:drawing>
                <wp:inline distT="0" distB="0" distL="0" distR="0" wp14:anchorId="4D7FC356" wp14:editId="39759CEC">
                  <wp:extent cx="2796540" cy="1573530"/>
                  <wp:effectExtent l="0" t="0" r="3810" b="7620"/>
                  <wp:docPr id="4" name="Obrázek 4" descr="C:\Users\jtvrdik\Desktop\!AKTUÁLNÍ PROJEKTY\ENACO-2015166 - Město Holýšov - TA - výběrové řízení\FOTO\Zmenšené\DSC_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vrdik\Desktop\!AKTUÁLNÍ PROJEKTY\ENACO-2015166 - Město Holýšov - TA - výběrové řízení\FOTO\Zmenšené\DSC_07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c>
          <w:tcPr>
            <w:tcW w:w="4626" w:type="dxa"/>
          </w:tcPr>
          <w:p w:rsidR="0040332E" w:rsidRPr="00BE491B" w:rsidRDefault="0040332E" w:rsidP="00D436D8">
            <w:pPr>
              <w:pStyle w:val="MainText"/>
              <w:rPr>
                <w:i/>
              </w:rPr>
            </w:pPr>
            <w:r w:rsidRPr="00BE491B">
              <w:rPr>
                <w:i/>
                <w:noProof/>
                <w:lang w:eastAsia="cs-CZ"/>
              </w:rPr>
              <w:drawing>
                <wp:inline distT="0" distB="0" distL="0" distR="0" wp14:anchorId="7011EC0A" wp14:editId="7A992175">
                  <wp:extent cx="2796540" cy="1573530"/>
                  <wp:effectExtent l="0" t="0" r="3810" b="7620"/>
                  <wp:docPr id="5" name="Obrázek 5" descr="C:\Users\jtvrdik\Desktop\!AKTUÁLNÍ PROJEKTY\ENACO-2015166 - Město Holýšov - TA - výběrové řízení\FOTO\Zmenšené\DSC_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tvrdik\Desktop\!AKTUÁLNÍ PROJEKTY\ENACO-2015166 - Město Holýšov - TA - výběrové řízení\FOTO\Zmenšené\DSC_07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r>
      <w:tr w:rsidR="0040332E" w:rsidRPr="00BE491B" w:rsidTr="00D436D8">
        <w:tc>
          <w:tcPr>
            <w:tcW w:w="4626" w:type="dxa"/>
          </w:tcPr>
          <w:p w:rsidR="0040332E" w:rsidRPr="00BE491B" w:rsidRDefault="0040332E" w:rsidP="00D436D8">
            <w:pPr>
              <w:pStyle w:val="MainText"/>
              <w:rPr>
                <w:i/>
              </w:rPr>
            </w:pPr>
            <w:r w:rsidRPr="00BE491B">
              <w:rPr>
                <w:i/>
              </w:rPr>
              <w:t>TH rozdělovač v prostoru u zámečnických dílen</w:t>
            </w:r>
          </w:p>
        </w:tc>
        <w:tc>
          <w:tcPr>
            <w:tcW w:w="4626" w:type="dxa"/>
          </w:tcPr>
          <w:p w:rsidR="0040332E" w:rsidRPr="00BE491B" w:rsidRDefault="0040332E" w:rsidP="00D436D8">
            <w:pPr>
              <w:pStyle w:val="MainText"/>
              <w:rPr>
                <w:i/>
              </w:rPr>
            </w:pPr>
            <w:r w:rsidRPr="00BE491B">
              <w:rPr>
                <w:i/>
              </w:rPr>
              <w:t>Oběhová čerpadla topných větví soustavy CZT</w:t>
            </w:r>
          </w:p>
        </w:tc>
      </w:tr>
      <w:tr w:rsidR="0040332E" w:rsidRPr="00BE491B" w:rsidTr="00D436D8">
        <w:tc>
          <w:tcPr>
            <w:tcW w:w="4626" w:type="dxa"/>
          </w:tcPr>
          <w:p w:rsidR="0040332E" w:rsidRPr="00BE491B" w:rsidRDefault="0040332E" w:rsidP="00D436D8">
            <w:pPr>
              <w:pStyle w:val="MainText"/>
              <w:rPr>
                <w:i/>
              </w:rPr>
            </w:pPr>
            <w:r w:rsidRPr="00BE491B">
              <w:rPr>
                <w:i/>
                <w:noProof/>
                <w:lang w:eastAsia="cs-CZ"/>
              </w:rPr>
              <w:drawing>
                <wp:inline distT="0" distB="0" distL="0" distR="0" wp14:anchorId="5FA58003" wp14:editId="6B2CCC54">
                  <wp:extent cx="2796540" cy="1573530"/>
                  <wp:effectExtent l="0" t="0" r="3810" b="7620"/>
                  <wp:docPr id="6" name="Obrázek 6" descr="C:\Users\jtvrdik\Desktop\!AKTUÁLNÍ PROJEKTY\ENACO-2015166 - Město Holýšov - TA - výběrové řízení\FOTO\Zmenšené\DSC_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vrdik\Desktop\!AKTUÁLNÍ PROJEKTY\ENACO-2015166 - Město Holýšov - TA - výběrové řízení\FOTO\Zmenšené\DSC_07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c>
          <w:tcPr>
            <w:tcW w:w="4626" w:type="dxa"/>
          </w:tcPr>
          <w:p w:rsidR="0040332E" w:rsidRPr="00BE491B" w:rsidRDefault="0040332E" w:rsidP="00D436D8">
            <w:pPr>
              <w:pStyle w:val="MainText"/>
              <w:rPr>
                <w:i/>
              </w:rPr>
            </w:pPr>
            <w:r w:rsidRPr="00BE491B">
              <w:rPr>
                <w:i/>
                <w:noProof/>
                <w:lang w:eastAsia="cs-CZ"/>
              </w:rPr>
              <w:drawing>
                <wp:inline distT="0" distB="0" distL="0" distR="0" wp14:anchorId="30A7992B" wp14:editId="28ABDAC4">
                  <wp:extent cx="2796540" cy="1573530"/>
                  <wp:effectExtent l="0" t="0" r="3810" b="7620"/>
                  <wp:docPr id="7" name="Obrázek 7" descr="C:\Users\jtvrdik\Desktop\!AKTUÁLNÍ PROJEKTY\ENACO-2015166 - Město Holýšov - TA - výběrové řízení\FOTO\Zmenšené\DSC_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vrdik\Desktop\!AKTUÁLNÍ PROJEKTY\ENACO-2015166 - Město Holýšov - TA - výběrové řízení\FOTO\Zmenšené\DSC_07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r>
      <w:tr w:rsidR="0040332E" w:rsidRPr="00BE491B" w:rsidTr="00D436D8">
        <w:tc>
          <w:tcPr>
            <w:tcW w:w="4626" w:type="dxa"/>
          </w:tcPr>
          <w:p w:rsidR="0040332E" w:rsidRPr="00BE491B" w:rsidRDefault="0040332E" w:rsidP="00D436D8">
            <w:pPr>
              <w:pStyle w:val="MainText"/>
              <w:rPr>
                <w:i/>
              </w:rPr>
            </w:pPr>
            <w:r w:rsidRPr="00BE491B">
              <w:rPr>
                <w:i/>
              </w:rPr>
              <w:t>Potencionální prostor pro umístění KGJ nebo nového zdroje – plynové kotelny</w:t>
            </w:r>
          </w:p>
        </w:tc>
        <w:tc>
          <w:tcPr>
            <w:tcW w:w="4626" w:type="dxa"/>
          </w:tcPr>
          <w:p w:rsidR="0040332E" w:rsidRPr="00BE491B" w:rsidRDefault="0040332E" w:rsidP="00D436D8">
            <w:pPr>
              <w:pStyle w:val="MainText"/>
              <w:rPr>
                <w:i/>
              </w:rPr>
            </w:pPr>
            <w:r w:rsidRPr="00BE491B">
              <w:rPr>
                <w:i/>
              </w:rPr>
              <w:t>Fakturační kalorimetr na patě kotelny</w:t>
            </w:r>
          </w:p>
        </w:tc>
      </w:tr>
      <w:tr w:rsidR="0040332E" w:rsidRPr="00BE491B" w:rsidTr="00D436D8">
        <w:tc>
          <w:tcPr>
            <w:tcW w:w="4626" w:type="dxa"/>
          </w:tcPr>
          <w:p w:rsidR="0040332E" w:rsidRPr="00BE491B" w:rsidRDefault="00FE316F" w:rsidP="00D436D8">
            <w:pPr>
              <w:pStyle w:val="MainText"/>
              <w:rPr>
                <w:i/>
              </w:rPr>
            </w:pPr>
            <w:r w:rsidRPr="00BE491B">
              <w:rPr>
                <w:i/>
                <w:noProof/>
                <w:lang w:eastAsia="cs-CZ"/>
              </w:rPr>
              <w:drawing>
                <wp:inline distT="0" distB="0" distL="0" distR="0" wp14:anchorId="63F46A5E" wp14:editId="32A177D5">
                  <wp:extent cx="2796540" cy="1573530"/>
                  <wp:effectExtent l="0" t="0" r="3810" b="7620"/>
                  <wp:docPr id="10" name="Obrázek 10" descr="C:\Users\jtvrdik\Desktop\!AKTUÁLNÍ PROJEKTY\ENACO-2015166 - Město Holýšov - TA - výběrové řízení\FOTO\Zmenšené\DSC_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tvrdik\Desktop\!AKTUÁLNÍ PROJEKTY\ENACO-2015166 - Město Holýšov - TA - výběrové řízení\FOTO\Zmenšené\DSC_073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c>
          <w:tcPr>
            <w:tcW w:w="4626" w:type="dxa"/>
          </w:tcPr>
          <w:p w:rsidR="0040332E" w:rsidRPr="00BE491B" w:rsidRDefault="0040332E" w:rsidP="00D436D8">
            <w:pPr>
              <w:pStyle w:val="MainText"/>
              <w:rPr>
                <w:i/>
              </w:rPr>
            </w:pPr>
            <w:r w:rsidRPr="00BE491B">
              <w:rPr>
                <w:i/>
                <w:noProof/>
                <w:lang w:eastAsia="cs-CZ"/>
              </w:rPr>
              <w:drawing>
                <wp:inline distT="0" distB="0" distL="0" distR="0" wp14:anchorId="777EFE7E" wp14:editId="5DF618FD">
                  <wp:extent cx="2796540" cy="1573530"/>
                  <wp:effectExtent l="0" t="0" r="3810" b="7620"/>
                  <wp:docPr id="12" name="Obrázek 12" descr="C:\Users\jtvrdik\Desktop\!AKTUÁLNÍ PROJEKTY\ENACO-2015166 - Město Holýšov - TA - výběrové řízení\FOTO\Zmenšené\DSC_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tvrdik\Desktop\!AKTUÁLNÍ PROJEKTY\ENACO-2015166 - Město Holýšov - TA - výběrové řízení\FOTO\Zmenšené\DSC_074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r>
      <w:tr w:rsidR="0040332E" w:rsidRPr="00BE491B" w:rsidTr="00D436D8">
        <w:tc>
          <w:tcPr>
            <w:tcW w:w="4626" w:type="dxa"/>
          </w:tcPr>
          <w:p w:rsidR="0040332E" w:rsidRPr="00BE491B" w:rsidRDefault="00FE316F" w:rsidP="00D436D8">
            <w:pPr>
              <w:pStyle w:val="MainText"/>
              <w:rPr>
                <w:i/>
              </w:rPr>
            </w:pPr>
            <w:r w:rsidRPr="00BE491B">
              <w:rPr>
                <w:i/>
              </w:rPr>
              <w:t>Vyvedení spalin – pata komínu</w:t>
            </w:r>
          </w:p>
        </w:tc>
        <w:tc>
          <w:tcPr>
            <w:tcW w:w="4626" w:type="dxa"/>
          </w:tcPr>
          <w:p w:rsidR="0040332E" w:rsidRPr="00BE491B" w:rsidRDefault="0040332E" w:rsidP="00D436D8">
            <w:pPr>
              <w:pStyle w:val="MainText"/>
              <w:rPr>
                <w:i/>
              </w:rPr>
            </w:pPr>
            <w:r w:rsidRPr="00BE491B">
              <w:rPr>
                <w:i/>
              </w:rPr>
              <w:t>Strojní vybavení kotelny</w:t>
            </w:r>
          </w:p>
        </w:tc>
      </w:tr>
      <w:tr w:rsidR="0040332E" w:rsidRPr="00BE491B" w:rsidTr="00D436D8">
        <w:tc>
          <w:tcPr>
            <w:tcW w:w="4626" w:type="dxa"/>
          </w:tcPr>
          <w:p w:rsidR="0040332E" w:rsidRPr="00BE491B" w:rsidRDefault="0040332E" w:rsidP="00D436D8">
            <w:pPr>
              <w:pStyle w:val="MainText"/>
              <w:rPr>
                <w:i/>
              </w:rPr>
            </w:pPr>
            <w:r w:rsidRPr="00BE491B">
              <w:rPr>
                <w:i/>
                <w:noProof/>
                <w:lang w:eastAsia="cs-CZ"/>
              </w:rPr>
              <w:drawing>
                <wp:inline distT="0" distB="0" distL="0" distR="0" wp14:anchorId="45298D6F" wp14:editId="6623A7E6">
                  <wp:extent cx="2796540" cy="1573530"/>
                  <wp:effectExtent l="0" t="0" r="3810" b="7620"/>
                  <wp:docPr id="9" name="Obrázek 9" descr="C:\Users\jtvrdik\Desktop\!AKTUÁLNÍ PROJEKTY\ENACO-2015166 - Město Holýšov - TA - výběrové řízení\FOTO\Zmenšené\DSC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tvrdik\Desktop\!AKTUÁLNÍ PROJEKTY\ENACO-2015166 - Město Holýšov - TA - výběrové řízení\FOTO\Zmenšené\DSC_073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c>
          <w:tcPr>
            <w:tcW w:w="4626" w:type="dxa"/>
          </w:tcPr>
          <w:p w:rsidR="0040332E" w:rsidRPr="00BE491B" w:rsidRDefault="00FE316F" w:rsidP="00D436D8">
            <w:pPr>
              <w:pStyle w:val="MainText"/>
              <w:rPr>
                <w:i/>
              </w:rPr>
            </w:pPr>
            <w:r w:rsidRPr="00BE491B">
              <w:rPr>
                <w:i/>
                <w:noProof/>
                <w:lang w:eastAsia="cs-CZ"/>
              </w:rPr>
              <w:drawing>
                <wp:inline distT="0" distB="0" distL="0" distR="0" wp14:anchorId="00ED14D3" wp14:editId="22449635">
                  <wp:extent cx="2796540" cy="1573530"/>
                  <wp:effectExtent l="0" t="0" r="3810" b="7620"/>
                  <wp:docPr id="11" name="Obrázek 11" descr="C:\Users\jtvrdik\Desktop\!AKTUÁLNÍ PROJEKTY\ENACO-2015166 - Město Holýšov - TA - výběrové řízení\FOTO\Zmenšené\DSC_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tvrdik\Desktop\!AKTUÁLNÍ PROJEKTY\ENACO-2015166 - Město Holýšov - TA - výběrové řízení\FOTO\Zmenšené\DSC_075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6540" cy="1573530"/>
                          </a:xfrm>
                          <a:prstGeom prst="rect">
                            <a:avLst/>
                          </a:prstGeom>
                          <a:noFill/>
                          <a:ln>
                            <a:noFill/>
                          </a:ln>
                        </pic:spPr>
                      </pic:pic>
                    </a:graphicData>
                  </a:graphic>
                </wp:inline>
              </w:drawing>
            </w:r>
          </w:p>
        </w:tc>
      </w:tr>
      <w:tr w:rsidR="00FE316F" w:rsidRPr="00BE491B" w:rsidTr="00D436D8">
        <w:tc>
          <w:tcPr>
            <w:tcW w:w="4626" w:type="dxa"/>
          </w:tcPr>
          <w:p w:rsidR="00FE316F" w:rsidRPr="00BE491B" w:rsidRDefault="00FE316F" w:rsidP="00D436D8">
            <w:pPr>
              <w:pStyle w:val="MainText"/>
              <w:rPr>
                <w:i/>
              </w:rPr>
            </w:pPr>
            <w:r w:rsidRPr="00BE491B">
              <w:rPr>
                <w:i/>
              </w:rPr>
              <w:t>Kotle Viessmann s hořáky Weishaupt</w:t>
            </w:r>
          </w:p>
        </w:tc>
        <w:tc>
          <w:tcPr>
            <w:tcW w:w="4626" w:type="dxa"/>
          </w:tcPr>
          <w:p w:rsidR="00FE316F" w:rsidRPr="00BE491B" w:rsidRDefault="00FE316F" w:rsidP="00D436D8">
            <w:pPr>
              <w:pStyle w:val="MainText"/>
              <w:rPr>
                <w:i/>
                <w:noProof/>
                <w:lang w:eastAsia="cs-CZ"/>
              </w:rPr>
            </w:pPr>
            <w:r w:rsidRPr="00BE491B">
              <w:rPr>
                <w:i/>
              </w:rPr>
              <w:t>Úpravna vody</w:t>
            </w:r>
          </w:p>
        </w:tc>
      </w:tr>
      <w:tr w:rsidR="00FE316F" w:rsidRPr="00BE491B" w:rsidTr="00D436D8">
        <w:tc>
          <w:tcPr>
            <w:tcW w:w="4626" w:type="dxa"/>
          </w:tcPr>
          <w:p w:rsidR="00FE316F" w:rsidRPr="00BE491B" w:rsidRDefault="00FE316F" w:rsidP="00D436D8">
            <w:pPr>
              <w:pStyle w:val="MainText"/>
              <w:rPr>
                <w:i/>
              </w:rPr>
            </w:pPr>
            <w:r w:rsidRPr="00BE491B">
              <w:rPr>
                <w:i/>
                <w:noProof/>
                <w:lang w:eastAsia="cs-CZ"/>
              </w:rPr>
              <w:drawing>
                <wp:inline distT="0" distB="0" distL="0" distR="0" wp14:anchorId="3C432188" wp14:editId="766A3F2C">
                  <wp:extent cx="2596551" cy="3100064"/>
                  <wp:effectExtent l="0" t="0" r="0" b="5715"/>
                  <wp:docPr id="8" name="Obrázek 8" descr="C:\Users\jtvrdik\Desktop\!AKTUÁLNÍ PROJEKTY\ENACO-2015166 - Město Holýšov - TA - výběrové řízení\FOTO\Zmenšené\DSC_0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tvrdik\Desktop\!AKTUÁLNÍ PROJEKTY\ENACO-2015166 - Město Holýšov - TA - výběrové řízení\FOTO\Zmenšené\DSC_0728.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32762"/>
                          <a:stretch/>
                        </pic:blipFill>
                        <pic:spPr bwMode="auto">
                          <a:xfrm>
                            <a:off x="0" y="0"/>
                            <a:ext cx="2608670" cy="31145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26" w:type="dxa"/>
          </w:tcPr>
          <w:p w:rsidR="00FE316F" w:rsidRPr="00BE491B" w:rsidRDefault="00FE316F" w:rsidP="00D436D8">
            <w:pPr>
              <w:pStyle w:val="MainText"/>
              <w:rPr>
                <w:i/>
              </w:rPr>
            </w:pPr>
          </w:p>
        </w:tc>
      </w:tr>
      <w:tr w:rsidR="00FE316F" w:rsidRPr="00BE491B" w:rsidTr="00D436D8">
        <w:tc>
          <w:tcPr>
            <w:tcW w:w="4626" w:type="dxa"/>
          </w:tcPr>
          <w:p w:rsidR="00FE316F" w:rsidRPr="00BE491B" w:rsidRDefault="00FE316F" w:rsidP="00D436D8">
            <w:pPr>
              <w:pStyle w:val="MainText"/>
              <w:rPr>
                <w:i/>
                <w:noProof/>
                <w:lang w:eastAsia="cs-CZ"/>
              </w:rPr>
            </w:pPr>
            <w:r w:rsidRPr="00BE491B">
              <w:rPr>
                <w:i/>
              </w:rPr>
              <w:t>Potencionální umístění akumulačního zásobníku tepla</w:t>
            </w:r>
          </w:p>
        </w:tc>
        <w:tc>
          <w:tcPr>
            <w:tcW w:w="4626" w:type="dxa"/>
          </w:tcPr>
          <w:p w:rsidR="00FE316F" w:rsidRPr="00BE491B" w:rsidRDefault="00FE316F" w:rsidP="00D436D8">
            <w:pPr>
              <w:pStyle w:val="MainText"/>
              <w:rPr>
                <w:i/>
                <w:noProof/>
                <w:lang w:eastAsia="cs-CZ"/>
              </w:rPr>
            </w:pPr>
          </w:p>
        </w:tc>
      </w:tr>
    </w:tbl>
    <w:p w:rsidR="00EA46E3" w:rsidRDefault="00EA46E3" w:rsidP="00BD66C3">
      <w:pPr>
        <w:pStyle w:val="Letterbodyparagraphs"/>
        <w:spacing w:after="120"/>
        <w:jc w:val="both"/>
        <w:rPr>
          <w:rFonts w:ascii="Calibri" w:hAnsi="Calibri" w:cs="Calibri"/>
          <w:b/>
          <w:sz w:val="24"/>
          <w:szCs w:val="24"/>
          <w:lang w:val="cs-CZ"/>
        </w:rPr>
      </w:pPr>
    </w:p>
    <w:p w:rsidR="00EA46E3" w:rsidRDefault="00EA46E3">
      <w:pPr>
        <w:rPr>
          <w:rFonts w:ascii="Calibri" w:eastAsia="Times New Roman" w:hAnsi="Calibri" w:cs="Calibri"/>
          <w:b/>
          <w:szCs w:val="24"/>
          <w:lang w:eastAsia="en-GB"/>
        </w:rPr>
      </w:pPr>
      <w:r>
        <w:rPr>
          <w:rFonts w:ascii="Calibri" w:hAnsi="Calibri" w:cs="Calibri"/>
          <w:b/>
          <w:szCs w:val="24"/>
        </w:rPr>
        <w:br w:type="page"/>
      </w:r>
    </w:p>
    <w:p w:rsidR="00EA46E3" w:rsidRDefault="00EA46E3" w:rsidP="00EA46E3">
      <w:pPr>
        <w:pStyle w:val="Letterbodyparagraphs"/>
        <w:spacing w:after="120"/>
        <w:jc w:val="both"/>
        <w:rPr>
          <w:rFonts w:ascii="Calibri" w:hAnsi="Calibri" w:cs="Calibri"/>
          <w:b/>
          <w:sz w:val="24"/>
          <w:szCs w:val="24"/>
          <w:lang w:val="cs-CZ"/>
        </w:rPr>
      </w:pPr>
      <w:r w:rsidRPr="0040332E">
        <w:rPr>
          <w:rFonts w:ascii="Calibri" w:hAnsi="Calibri" w:cs="Calibri"/>
          <w:b/>
          <w:sz w:val="24"/>
          <w:szCs w:val="24"/>
          <w:lang w:val="cs-CZ"/>
        </w:rPr>
        <w:t xml:space="preserve">Příloha č. </w:t>
      </w:r>
      <w:r>
        <w:rPr>
          <w:rFonts w:ascii="Calibri" w:hAnsi="Calibri" w:cs="Calibri"/>
          <w:b/>
          <w:sz w:val="24"/>
          <w:szCs w:val="24"/>
          <w:lang w:val="cs-CZ"/>
        </w:rPr>
        <w:t>2</w:t>
      </w:r>
      <w:r w:rsidRPr="0040332E">
        <w:rPr>
          <w:rFonts w:ascii="Calibri" w:hAnsi="Calibri" w:cs="Calibri"/>
          <w:b/>
          <w:sz w:val="24"/>
          <w:szCs w:val="24"/>
          <w:lang w:val="cs-CZ"/>
        </w:rPr>
        <w:t xml:space="preserve">  - </w:t>
      </w:r>
      <w:r>
        <w:rPr>
          <w:rFonts w:ascii="Calibri" w:hAnsi="Calibri" w:cs="Calibri"/>
          <w:b/>
          <w:sz w:val="24"/>
          <w:szCs w:val="24"/>
          <w:lang w:val="cs-CZ"/>
        </w:rPr>
        <w:t xml:space="preserve">Soupis </w:t>
      </w:r>
      <w:r w:rsidRPr="00EA46E3">
        <w:rPr>
          <w:rFonts w:ascii="Calibri" w:hAnsi="Calibri" w:cs="Calibri"/>
          <w:b/>
          <w:sz w:val="24"/>
          <w:szCs w:val="24"/>
          <w:lang w:val="cs-CZ"/>
        </w:rPr>
        <w:t xml:space="preserve">strojního zařízení </w:t>
      </w:r>
      <w:r w:rsidR="004D2B7A">
        <w:rPr>
          <w:rFonts w:ascii="Calibri" w:hAnsi="Calibri" w:cs="Calibri"/>
          <w:b/>
          <w:sz w:val="24"/>
          <w:szCs w:val="24"/>
          <w:lang w:val="cs-CZ"/>
        </w:rPr>
        <w:t>využitelného pro uchazeče ve VŘ</w:t>
      </w:r>
    </w:p>
    <w:p w:rsidR="00EA46E3" w:rsidRPr="004D2B7A" w:rsidRDefault="004D2B7A" w:rsidP="004D2B7A">
      <w:pPr>
        <w:autoSpaceDE w:val="0"/>
        <w:autoSpaceDN w:val="0"/>
        <w:adjustRightInd w:val="0"/>
        <w:spacing w:after="0" w:line="240" w:lineRule="auto"/>
        <w:rPr>
          <w:rFonts w:cs="Calibri"/>
          <w:szCs w:val="24"/>
        </w:rPr>
      </w:pPr>
      <w:r>
        <w:rPr>
          <w:rFonts w:cs="Calibri"/>
          <w:szCs w:val="24"/>
        </w:rPr>
        <w:t>H</w:t>
      </w:r>
      <w:r w:rsidR="00EA46E3" w:rsidRPr="004D2B7A">
        <w:rPr>
          <w:rFonts w:cs="Calibri"/>
          <w:szCs w:val="24"/>
        </w:rPr>
        <w:t>ydraulický rozvaděč větve A, B, C včetně horních uzavíracích klapek, bezpečnostních</w:t>
      </w:r>
    </w:p>
    <w:p w:rsidR="00EA46E3" w:rsidRPr="004D2B7A" w:rsidRDefault="00EA46E3" w:rsidP="004D2B7A">
      <w:pPr>
        <w:autoSpaceDE w:val="0"/>
        <w:autoSpaceDN w:val="0"/>
        <w:adjustRightInd w:val="0"/>
        <w:spacing w:after="0" w:line="240" w:lineRule="auto"/>
        <w:rPr>
          <w:rFonts w:cs="Calibri"/>
          <w:szCs w:val="24"/>
        </w:rPr>
      </w:pPr>
      <w:r w:rsidRPr="004D2B7A">
        <w:rPr>
          <w:rFonts w:cs="Calibri"/>
          <w:szCs w:val="24"/>
        </w:rPr>
        <w:t>klapek, elektronických oběhových čerpadel – 5 ks + 1 ks náhradní, hydraulické trubní</w:t>
      </w:r>
    </w:p>
    <w:p w:rsidR="00EA46E3" w:rsidRPr="004D2B7A" w:rsidRDefault="00EA46E3" w:rsidP="004D2B7A">
      <w:pPr>
        <w:autoSpaceDE w:val="0"/>
        <w:autoSpaceDN w:val="0"/>
        <w:adjustRightInd w:val="0"/>
        <w:spacing w:after="0" w:line="240" w:lineRule="auto"/>
        <w:rPr>
          <w:rFonts w:cs="Calibri"/>
          <w:szCs w:val="24"/>
        </w:rPr>
      </w:pPr>
      <w:r w:rsidRPr="004D2B7A">
        <w:rPr>
          <w:rFonts w:cs="Calibri"/>
          <w:szCs w:val="24"/>
        </w:rPr>
        <w:t>rozvody, regulátor hydraulického tlaku, manometry, měřiče</w:t>
      </w:r>
    </w:p>
    <w:p w:rsidR="00EA46E3" w:rsidRPr="00EA46E3" w:rsidRDefault="00EA46E3" w:rsidP="00EA46E3">
      <w:pPr>
        <w:pStyle w:val="Odstavecseseznamem"/>
        <w:numPr>
          <w:ilvl w:val="1"/>
          <w:numId w:val="32"/>
        </w:numPr>
        <w:autoSpaceDE w:val="0"/>
        <w:autoSpaceDN w:val="0"/>
        <w:adjustRightInd w:val="0"/>
        <w:spacing w:after="0" w:line="240" w:lineRule="auto"/>
        <w:rPr>
          <w:rFonts w:cs="Calibri"/>
          <w:szCs w:val="24"/>
        </w:rPr>
      </w:pPr>
      <w:r w:rsidRPr="00EA46E3">
        <w:rPr>
          <w:rFonts w:cs="Calibri"/>
          <w:szCs w:val="24"/>
        </w:rPr>
        <w:t>větev A</w:t>
      </w:r>
      <w:r w:rsidR="00C84471">
        <w:rPr>
          <w:rFonts w:cs="Calibri"/>
          <w:szCs w:val="24"/>
        </w:rPr>
        <w:t xml:space="preserve">: </w:t>
      </w:r>
      <w:r w:rsidRPr="00EA46E3">
        <w:rPr>
          <w:rFonts w:cs="Calibri"/>
          <w:szCs w:val="24"/>
        </w:rPr>
        <w:t>čerpadlo 1  v.č. 2053092/1009</w:t>
      </w:r>
      <w:r w:rsidR="00C84471" w:rsidRPr="00C84471">
        <w:rPr>
          <w:rFonts w:cs="Calibri"/>
          <w:szCs w:val="24"/>
        </w:rPr>
        <w:t xml:space="preserve">; </w:t>
      </w:r>
      <w:r w:rsidRPr="00EA46E3">
        <w:rPr>
          <w:rFonts w:cs="Calibri"/>
          <w:szCs w:val="24"/>
        </w:rPr>
        <w:t>čerpadlo 2  v.č. 2053092/906</w:t>
      </w:r>
    </w:p>
    <w:p w:rsidR="00EA46E3" w:rsidRPr="00EA46E3" w:rsidRDefault="00EA46E3" w:rsidP="00C84471">
      <w:pPr>
        <w:pStyle w:val="Odstavecseseznamem"/>
        <w:numPr>
          <w:ilvl w:val="1"/>
          <w:numId w:val="32"/>
        </w:numPr>
        <w:autoSpaceDE w:val="0"/>
        <w:autoSpaceDN w:val="0"/>
        <w:adjustRightInd w:val="0"/>
        <w:spacing w:after="0" w:line="240" w:lineRule="auto"/>
        <w:rPr>
          <w:rFonts w:cs="Calibri"/>
          <w:szCs w:val="24"/>
        </w:rPr>
      </w:pPr>
      <w:r w:rsidRPr="00EA46E3">
        <w:rPr>
          <w:rFonts w:cs="Calibri"/>
          <w:szCs w:val="24"/>
        </w:rPr>
        <w:t>větev B</w:t>
      </w:r>
      <w:r w:rsidR="00C84471">
        <w:rPr>
          <w:rFonts w:cs="Calibri"/>
          <w:szCs w:val="24"/>
        </w:rPr>
        <w:t xml:space="preserve">: </w:t>
      </w:r>
      <w:r w:rsidRPr="00EA46E3">
        <w:rPr>
          <w:rFonts w:cs="Calibri"/>
          <w:szCs w:val="24"/>
        </w:rPr>
        <w:t>čerpadlo     v.č. 2109772/1112</w:t>
      </w:r>
    </w:p>
    <w:p w:rsidR="00EA46E3" w:rsidRPr="00EA46E3" w:rsidRDefault="00EA46E3" w:rsidP="00EA46E3">
      <w:pPr>
        <w:pStyle w:val="Odstavecseseznamem"/>
        <w:numPr>
          <w:ilvl w:val="1"/>
          <w:numId w:val="32"/>
        </w:numPr>
        <w:autoSpaceDE w:val="0"/>
        <w:autoSpaceDN w:val="0"/>
        <w:adjustRightInd w:val="0"/>
        <w:spacing w:after="0" w:line="240" w:lineRule="auto"/>
        <w:rPr>
          <w:rFonts w:cs="Calibri"/>
          <w:szCs w:val="24"/>
        </w:rPr>
      </w:pPr>
      <w:r w:rsidRPr="00EA46E3">
        <w:rPr>
          <w:rFonts w:cs="Calibri"/>
          <w:szCs w:val="24"/>
        </w:rPr>
        <w:t>větev C</w:t>
      </w:r>
      <w:r w:rsidR="00C84471" w:rsidRPr="00C84471">
        <w:rPr>
          <w:rFonts w:cs="Calibri"/>
          <w:szCs w:val="24"/>
        </w:rPr>
        <w:t xml:space="preserve">: </w:t>
      </w:r>
      <w:r w:rsidRPr="00EA46E3">
        <w:rPr>
          <w:rFonts w:cs="Calibri"/>
          <w:szCs w:val="24"/>
        </w:rPr>
        <w:t>čerpadlo 1  v.č. 2053092/0610</w:t>
      </w:r>
      <w:r w:rsidR="00C84471" w:rsidRPr="00C84471">
        <w:rPr>
          <w:rFonts w:cs="Calibri"/>
          <w:szCs w:val="24"/>
        </w:rPr>
        <w:t xml:space="preserve">; </w:t>
      </w:r>
      <w:r w:rsidRPr="00EA46E3">
        <w:rPr>
          <w:rFonts w:cs="Calibri"/>
          <w:szCs w:val="24"/>
        </w:rPr>
        <w:t>čerpadlo 2  v.č. 2039651/0508</w:t>
      </w:r>
    </w:p>
    <w:p w:rsidR="00EA46E3" w:rsidRPr="00EA46E3" w:rsidRDefault="00EA46E3" w:rsidP="00C84471">
      <w:pPr>
        <w:pStyle w:val="Odstavecseseznamem"/>
        <w:numPr>
          <w:ilvl w:val="1"/>
          <w:numId w:val="32"/>
        </w:numPr>
        <w:autoSpaceDE w:val="0"/>
        <w:autoSpaceDN w:val="0"/>
        <w:adjustRightInd w:val="0"/>
        <w:spacing w:after="0" w:line="240" w:lineRule="auto"/>
        <w:rPr>
          <w:rFonts w:cs="Calibri"/>
          <w:szCs w:val="24"/>
        </w:rPr>
      </w:pPr>
      <w:r w:rsidRPr="00EA46E3">
        <w:rPr>
          <w:rFonts w:cs="Calibri"/>
          <w:szCs w:val="24"/>
        </w:rPr>
        <w:t>čepadlo vytápění kotelny  v.č. 2012443/9707</w:t>
      </w:r>
    </w:p>
    <w:p w:rsidR="00EA46E3" w:rsidRPr="00EA46E3" w:rsidRDefault="00EA46E3" w:rsidP="00EA46E3">
      <w:pPr>
        <w:autoSpaceDE w:val="0"/>
        <w:autoSpaceDN w:val="0"/>
        <w:adjustRightInd w:val="0"/>
        <w:spacing w:after="0" w:line="240" w:lineRule="auto"/>
        <w:rPr>
          <w:rFonts w:cs="Calibri"/>
          <w:szCs w:val="24"/>
        </w:rPr>
      </w:pPr>
      <w:r w:rsidRPr="00EA46E3">
        <w:rPr>
          <w:rFonts w:cs="Calibri"/>
          <w:szCs w:val="24"/>
        </w:rPr>
        <w:t xml:space="preserve">        </w:t>
      </w:r>
    </w:p>
    <w:p w:rsidR="0040332E" w:rsidRDefault="0040332E" w:rsidP="00BD66C3">
      <w:pPr>
        <w:pStyle w:val="Letterbodyparagraphs"/>
        <w:spacing w:after="120"/>
        <w:jc w:val="both"/>
        <w:rPr>
          <w:rFonts w:ascii="Calibri" w:hAnsi="Calibri" w:cs="Calibri"/>
          <w:b/>
          <w:sz w:val="24"/>
          <w:szCs w:val="24"/>
          <w:lang w:val="cs-CZ"/>
        </w:rPr>
      </w:pPr>
    </w:p>
    <w:sectPr w:rsidR="0040332E" w:rsidSect="00186D5D">
      <w:headerReference w:type="default" r:id="rId20"/>
      <w:footerReference w:type="default" r:id="rId21"/>
      <w:pgSz w:w="11906" w:h="16838"/>
      <w:pgMar w:top="1843" w:right="1417" w:bottom="2410"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D8" w:rsidRDefault="00514BD8" w:rsidP="00113E86">
      <w:pPr>
        <w:spacing w:after="0" w:line="240" w:lineRule="auto"/>
      </w:pPr>
      <w:r>
        <w:separator/>
      </w:r>
    </w:p>
  </w:endnote>
  <w:endnote w:type="continuationSeparator" w:id="0">
    <w:p w:rsidR="00514BD8" w:rsidRDefault="00514BD8" w:rsidP="0011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ranklin Gothic Book">
    <w:altName w:val="Franklin Gothic Medium"/>
    <w:charset w:val="EE"/>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1417"/>
    </w:tblGrid>
    <w:tr w:rsidR="00A94F56" w:rsidRPr="00CC47C5" w:rsidTr="00C308C7">
      <w:tc>
        <w:tcPr>
          <w:tcW w:w="2802" w:type="dxa"/>
        </w:tcPr>
        <w:p w:rsidR="00A94F56" w:rsidRPr="00CC47C5" w:rsidRDefault="00A94F56" w:rsidP="00113E86">
          <w:pPr>
            <w:pStyle w:val="Zpat"/>
            <w:rPr>
              <w:color w:val="0D3C61"/>
            </w:rPr>
          </w:pPr>
          <w:r w:rsidRPr="00CC47C5">
            <w:rPr>
              <w:color w:val="0D3C61"/>
            </w:rPr>
            <w:t>ENACO, s.r.o.</w:t>
          </w:r>
        </w:p>
        <w:p w:rsidR="00A94F56" w:rsidRPr="00CC47C5" w:rsidRDefault="00A94F56" w:rsidP="00113E86">
          <w:pPr>
            <w:pStyle w:val="Zpat"/>
            <w:rPr>
              <w:color w:val="0D3C61"/>
            </w:rPr>
          </w:pPr>
          <w:r w:rsidRPr="00CC47C5">
            <w:rPr>
              <w:color w:val="0D3C61"/>
            </w:rPr>
            <w:t>Čechtická 386/14</w:t>
          </w:r>
        </w:p>
        <w:p w:rsidR="00A94F56" w:rsidRPr="00CC47C5" w:rsidRDefault="00A94F56" w:rsidP="00113E86">
          <w:pPr>
            <w:pStyle w:val="Zpat"/>
            <w:rPr>
              <w:color w:val="0D3C61"/>
            </w:rPr>
          </w:pPr>
          <w:r w:rsidRPr="00CC47C5">
            <w:rPr>
              <w:color w:val="0D3C61"/>
            </w:rPr>
            <w:t>142 00 Praha 4</w:t>
          </w:r>
        </w:p>
        <w:p w:rsidR="00A94F56" w:rsidRPr="00CC47C5" w:rsidRDefault="00A94F56" w:rsidP="00113E86">
          <w:pPr>
            <w:pStyle w:val="Zpat"/>
            <w:rPr>
              <w:color w:val="0D3C61"/>
            </w:rPr>
          </w:pPr>
          <w:r w:rsidRPr="00CC47C5">
            <w:rPr>
              <w:color w:val="0D3C61"/>
            </w:rPr>
            <w:t>Czech Republic</w:t>
          </w:r>
        </w:p>
      </w:tc>
      <w:tc>
        <w:tcPr>
          <w:tcW w:w="2835" w:type="dxa"/>
        </w:tcPr>
        <w:p w:rsidR="00A94F56" w:rsidRPr="00CC47C5" w:rsidRDefault="00A94F56" w:rsidP="00A23B95">
          <w:pPr>
            <w:pStyle w:val="Zpat"/>
            <w:rPr>
              <w:color w:val="0D3C61"/>
            </w:rPr>
          </w:pPr>
          <w:r>
            <w:rPr>
              <w:noProof/>
              <w:lang w:eastAsia="cs-CZ"/>
            </w:rPr>
            <w:drawing>
              <wp:anchor distT="0" distB="0" distL="114300" distR="114300" simplePos="0" relativeHeight="251661312" behindDoc="0" locked="0" layoutInCell="1" allowOverlap="1" wp14:anchorId="0D7977AF" wp14:editId="07F13577">
                <wp:simplePos x="0" y="0"/>
                <wp:positionH relativeFrom="column">
                  <wp:posOffset>3141303</wp:posOffset>
                </wp:positionH>
                <wp:positionV relativeFrom="paragraph">
                  <wp:posOffset>-246380</wp:posOffset>
                </wp:positionV>
                <wp:extent cx="1838222" cy="172137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222" cy="1721370"/>
                        </a:xfrm>
                        <a:prstGeom prst="rect">
                          <a:avLst/>
                        </a:prstGeom>
                      </pic:spPr>
                    </pic:pic>
                  </a:graphicData>
                </a:graphic>
                <wp14:sizeRelH relativeFrom="margin">
                  <wp14:pctWidth>0</wp14:pctWidth>
                </wp14:sizeRelH>
                <wp14:sizeRelV relativeFrom="margin">
                  <wp14:pctHeight>0</wp14:pctHeight>
                </wp14:sizeRelV>
              </wp:anchor>
            </w:drawing>
          </w:r>
          <w:r w:rsidRPr="00CC47C5">
            <w:rPr>
              <w:color w:val="0D3C61"/>
            </w:rPr>
            <w:t>T:   +420 222 515 445</w:t>
          </w:r>
        </w:p>
        <w:p w:rsidR="00A94F56" w:rsidRPr="00CC47C5" w:rsidRDefault="00A94F56" w:rsidP="00A23B95">
          <w:pPr>
            <w:pStyle w:val="Zpat"/>
            <w:rPr>
              <w:color w:val="0D3C61"/>
            </w:rPr>
          </w:pPr>
          <w:r w:rsidRPr="00CC47C5">
            <w:rPr>
              <w:color w:val="0D3C61"/>
            </w:rPr>
            <w:t xml:space="preserve">E:   </w:t>
          </w:r>
          <w:hyperlink r:id="rId2" w:history="1">
            <w:r w:rsidRPr="00CC47C5">
              <w:rPr>
                <w:color w:val="0D3C61"/>
              </w:rPr>
              <w:t>info@enaco.cz</w:t>
            </w:r>
          </w:hyperlink>
        </w:p>
        <w:p w:rsidR="00A94F56" w:rsidRPr="00CC47C5" w:rsidRDefault="00A94F56" w:rsidP="00A23B95">
          <w:pPr>
            <w:pStyle w:val="Zpat"/>
            <w:rPr>
              <w:color w:val="0D3C61"/>
            </w:rPr>
          </w:pPr>
          <w:r w:rsidRPr="00CC47C5">
            <w:rPr>
              <w:color w:val="0D3C61"/>
            </w:rPr>
            <w:t>W: www.enaco.cz</w:t>
          </w:r>
        </w:p>
      </w:tc>
      <w:tc>
        <w:tcPr>
          <w:tcW w:w="1417" w:type="dxa"/>
        </w:tcPr>
        <w:p w:rsidR="00A94F56" w:rsidRDefault="00A94F56" w:rsidP="00A23B95">
          <w:pPr>
            <w:pStyle w:val="Zpat"/>
            <w:rPr>
              <w:noProof/>
              <w:lang w:eastAsia="cs-CZ"/>
            </w:rPr>
          </w:pPr>
        </w:p>
        <w:p w:rsidR="00A94F56" w:rsidRPr="00C308C7" w:rsidRDefault="00A94F56" w:rsidP="00C308C7">
          <w:pPr>
            <w:jc w:val="right"/>
            <w:rPr>
              <w:color w:val="0D3C61"/>
            </w:rPr>
          </w:pPr>
          <w:r w:rsidRPr="00C308C7">
            <w:rPr>
              <w:color w:val="0D3C61"/>
            </w:rPr>
            <w:t>-</w:t>
          </w:r>
          <w:r>
            <w:rPr>
              <w:color w:val="0D3C61"/>
            </w:rPr>
            <w:t xml:space="preserve"> </w:t>
          </w:r>
          <w:r w:rsidRPr="00C308C7">
            <w:rPr>
              <w:color w:val="0D3C61"/>
            </w:rPr>
            <w:fldChar w:fldCharType="begin"/>
          </w:r>
          <w:r w:rsidRPr="00C308C7">
            <w:rPr>
              <w:color w:val="0D3C61"/>
            </w:rPr>
            <w:instrText>PAGE   \* MERGEFORMAT</w:instrText>
          </w:r>
          <w:r w:rsidRPr="00C308C7">
            <w:rPr>
              <w:color w:val="0D3C61"/>
            </w:rPr>
            <w:fldChar w:fldCharType="separate"/>
          </w:r>
          <w:r w:rsidR="00E96D22">
            <w:rPr>
              <w:noProof/>
              <w:color w:val="0D3C61"/>
            </w:rPr>
            <w:t>5</w:t>
          </w:r>
          <w:r w:rsidRPr="00C308C7">
            <w:rPr>
              <w:color w:val="0D3C61"/>
            </w:rPr>
            <w:fldChar w:fldCharType="end"/>
          </w:r>
          <w:r>
            <w:rPr>
              <w:color w:val="0D3C61"/>
            </w:rPr>
            <w:t xml:space="preserve"> -</w:t>
          </w:r>
        </w:p>
        <w:p w:rsidR="00A94F56" w:rsidRPr="00C308C7" w:rsidRDefault="00A94F56" w:rsidP="00C308C7">
          <w:pPr>
            <w:ind w:firstLine="708"/>
            <w:rPr>
              <w:lang w:eastAsia="cs-CZ"/>
            </w:rPr>
          </w:pPr>
        </w:p>
      </w:tc>
    </w:tr>
  </w:tbl>
  <w:p w:rsidR="00A94F56" w:rsidRDefault="00A94F56" w:rsidP="00113E86">
    <w:pPr>
      <w:pStyle w:val="Zpat"/>
    </w:pPr>
  </w:p>
  <w:p w:rsidR="00A94F56" w:rsidRDefault="00A94F56" w:rsidP="00113E86">
    <w:pPr>
      <w:pStyle w:val="Zpat"/>
    </w:pPr>
  </w:p>
  <w:p w:rsidR="00A94F56" w:rsidRPr="00113E86" w:rsidRDefault="00A94F56" w:rsidP="00113E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D8" w:rsidRDefault="00514BD8" w:rsidP="00113E86">
      <w:pPr>
        <w:spacing w:after="0" w:line="240" w:lineRule="auto"/>
      </w:pPr>
      <w:r>
        <w:separator/>
      </w:r>
    </w:p>
  </w:footnote>
  <w:footnote w:type="continuationSeparator" w:id="0">
    <w:p w:rsidR="00514BD8" w:rsidRDefault="00514BD8" w:rsidP="00113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56" w:rsidRDefault="00A94F56">
    <w:pPr>
      <w:pStyle w:val="Zhlav"/>
    </w:pPr>
    <w:r>
      <w:rPr>
        <w:noProof/>
        <w:lang w:eastAsia="cs-CZ"/>
      </w:rPr>
      <w:drawing>
        <wp:anchor distT="0" distB="0" distL="114300" distR="114300" simplePos="0" relativeHeight="251659264" behindDoc="0" locked="0" layoutInCell="1" allowOverlap="1" wp14:anchorId="7F0D82B1" wp14:editId="445BB69D">
          <wp:simplePos x="0" y="0"/>
          <wp:positionH relativeFrom="column">
            <wp:posOffset>-137795</wp:posOffset>
          </wp:positionH>
          <wp:positionV relativeFrom="paragraph">
            <wp:posOffset>-49692</wp:posOffset>
          </wp:positionV>
          <wp:extent cx="2173184" cy="722445"/>
          <wp:effectExtent l="0" t="0" r="0" b="1905"/>
          <wp:wrapNone/>
          <wp:docPr id="1" name="Obrázek 1" descr="G:\!ENACO\COMPANY\LOGO\NOVE LOGO\ENACO\ENAC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ACO\COMPANY\LOGO\NOVE LOGO\ENACO\ENACO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3184" cy="722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1CB0"/>
    <w:multiLevelType w:val="hybridMultilevel"/>
    <w:tmpl w:val="60040BC8"/>
    <w:lvl w:ilvl="0" w:tplc="4CB8B514">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B8526F"/>
    <w:multiLevelType w:val="hybridMultilevel"/>
    <w:tmpl w:val="5770BB9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A51F9D"/>
    <w:multiLevelType w:val="hybridMultilevel"/>
    <w:tmpl w:val="C66EF814"/>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22734F69"/>
    <w:multiLevelType w:val="hybridMultilevel"/>
    <w:tmpl w:val="8B70D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390746A"/>
    <w:multiLevelType w:val="hybridMultilevel"/>
    <w:tmpl w:val="EB304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F1AAA"/>
    <w:multiLevelType w:val="hybridMultilevel"/>
    <w:tmpl w:val="EBAE0A9C"/>
    <w:lvl w:ilvl="0" w:tplc="2342F97E">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ED67C4"/>
    <w:multiLevelType w:val="hybridMultilevel"/>
    <w:tmpl w:val="C5C829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1B2BA3"/>
    <w:multiLevelType w:val="hybridMultilevel"/>
    <w:tmpl w:val="A27628AC"/>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nsid w:val="2A3B5469"/>
    <w:multiLevelType w:val="hybridMultilevel"/>
    <w:tmpl w:val="F062A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663AB7"/>
    <w:multiLevelType w:val="hybridMultilevel"/>
    <w:tmpl w:val="578C1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DF46DC"/>
    <w:multiLevelType w:val="hybridMultilevel"/>
    <w:tmpl w:val="E21CFAF6"/>
    <w:lvl w:ilvl="0" w:tplc="DF182CE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874B6D"/>
    <w:multiLevelType w:val="hybridMultilevel"/>
    <w:tmpl w:val="BB94AC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E045EE0"/>
    <w:multiLevelType w:val="hybridMultilevel"/>
    <w:tmpl w:val="01EE5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E1B643C"/>
    <w:multiLevelType w:val="hybridMultilevel"/>
    <w:tmpl w:val="61D465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4298168C"/>
    <w:multiLevelType w:val="hybridMultilevel"/>
    <w:tmpl w:val="7B26F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D83353"/>
    <w:multiLevelType w:val="hybridMultilevel"/>
    <w:tmpl w:val="4E2AF13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5E12B9"/>
    <w:multiLevelType w:val="hybridMultilevel"/>
    <w:tmpl w:val="D2605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121C3C"/>
    <w:multiLevelType w:val="hybridMultilevel"/>
    <w:tmpl w:val="D4D23A3A"/>
    <w:lvl w:ilvl="0" w:tplc="47D2B016">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7C2002"/>
    <w:multiLevelType w:val="multilevel"/>
    <w:tmpl w:val="378A0E42"/>
    <w:lvl w:ilvl="0">
      <w:start w:val="1"/>
      <w:numFmt w:val="decimal"/>
      <w:pStyle w:val="TableHeading"/>
      <w:lvlText w:val="Tabulka %1:"/>
      <w:lvlJc w:val="left"/>
      <w:pPr>
        <w:tabs>
          <w:tab w:val="num" w:pos="1080"/>
        </w:tabs>
        <w:ind w:left="0" w:firstLine="0"/>
      </w:pPr>
      <w:rPr>
        <w:rFonts w:ascii="Calibri" w:hAnsi="Calibri" w:hint="default"/>
        <w:b/>
        <w:i/>
        <w:caps w:val="0"/>
        <w:strike w:val="0"/>
        <w:dstrike w:val="0"/>
        <w:vanish w:val="0"/>
        <w:color w:val="000000"/>
        <w:sz w:val="22"/>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59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753"/>
        </w:tabs>
        <w:ind w:left="3177" w:hanging="1224"/>
      </w:pPr>
      <w:rPr>
        <w:rFonts w:hint="default"/>
      </w:rPr>
    </w:lvl>
    <w:lvl w:ilvl="8">
      <w:start w:val="1"/>
      <w:numFmt w:val="decimal"/>
      <w:lvlText w:val="%1.%2.%3.%4.%5.%6.%7.%8.%9."/>
      <w:lvlJc w:val="left"/>
      <w:pPr>
        <w:tabs>
          <w:tab w:val="num" w:pos="4473"/>
        </w:tabs>
        <w:ind w:left="3753" w:hanging="1440"/>
      </w:pPr>
      <w:rPr>
        <w:rFonts w:hint="default"/>
      </w:rPr>
    </w:lvl>
  </w:abstractNum>
  <w:abstractNum w:abstractNumId="19">
    <w:nsid w:val="53B03D71"/>
    <w:multiLevelType w:val="hybridMultilevel"/>
    <w:tmpl w:val="7B68E152"/>
    <w:lvl w:ilvl="0" w:tplc="F4B0A45A">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045ACA"/>
    <w:multiLevelType w:val="hybridMultilevel"/>
    <w:tmpl w:val="93A45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5C3FF7"/>
    <w:multiLevelType w:val="hybridMultilevel"/>
    <w:tmpl w:val="3A1A5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EC32D41"/>
    <w:multiLevelType w:val="hybridMultilevel"/>
    <w:tmpl w:val="AB824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0101AD"/>
    <w:multiLevelType w:val="hybridMultilevel"/>
    <w:tmpl w:val="43B87232"/>
    <w:lvl w:ilvl="0" w:tplc="AFB8CF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2FC27E9"/>
    <w:multiLevelType w:val="hybridMultilevel"/>
    <w:tmpl w:val="83D06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3686A5B"/>
    <w:multiLevelType w:val="hybridMultilevel"/>
    <w:tmpl w:val="889C4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E46A72"/>
    <w:multiLevelType w:val="multilevel"/>
    <w:tmpl w:val="B332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7A19D2"/>
    <w:multiLevelType w:val="hybridMultilevel"/>
    <w:tmpl w:val="74102A30"/>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676801"/>
    <w:multiLevelType w:val="multilevel"/>
    <w:tmpl w:val="6E0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862BB"/>
    <w:multiLevelType w:val="hybridMultilevel"/>
    <w:tmpl w:val="D49E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7A74A5"/>
    <w:multiLevelType w:val="hybridMultilevel"/>
    <w:tmpl w:val="4F88876C"/>
    <w:lvl w:ilvl="0" w:tplc="3ACAD57A">
      <w:numFmt w:val="bullet"/>
      <w:lvlText w:val="-"/>
      <w:lvlJc w:val="left"/>
      <w:pPr>
        <w:ind w:left="720" w:hanging="360"/>
      </w:pPr>
      <w:rPr>
        <w:rFonts w:ascii="Calibri" w:eastAsia="MS Mincho"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0"/>
  </w:num>
  <w:num w:numId="4">
    <w:abstractNumId w:val="5"/>
  </w:num>
  <w:num w:numId="5">
    <w:abstractNumId w:val="28"/>
  </w:num>
  <w:num w:numId="6">
    <w:abstractNumId w:val="3"/>
  </w:num>
  <w:num w:numId="7">
    <w:abstractNumId w:val="11"/>
  </w:num>
  <w:num w:numId="8">
    <w:abstractNumId w:val="30"/>
  </w:num>
  <w:num w:numId="9">
    <w:abstractNumId w:val="2"/>
  </w:num>
  <w:num w:numId="10">
    <w:abstractNumId w:val="14"/>
  </w:num>
  <w:num w:numId="11">
    <w:abstractNumId w:val="22"/>
  </w:num>
  <w:num w:numId="12">
    <w:abstractNumId w:val="8"/>
  </w:num>
  <w:num w:numId="13">
    <w:abstractNumId w:val="12"/>
  </w:num>
  <w:num w:numId="14">
    <w:abstractNumId w:val="24"/>
  </w:num>
  <w:num w:numId="15">
    <w:abstractNumId w:val="19"/>
  </w:num>
  <w:num w:numId="16">
    <w:abstractNumId w:val="27"/>
  </w:num>
  <w:num w:numId="17">
    <w:abstractNumId w:val="26"/>
  </w:num>
  <w:num w:numId="18">
    <w:abstractNumId w:val="13"/>
  </w:num>
  <w:num w:numId="19">
    <w:abstractNumId w:val="21"/>
  </w:num>
  <w:num w:numId="20">
    <w:abstractNumId w:val="0"/>
  </w:num>
  <w:num w:numId="21">
    <w:abstractNumId w:val="15"/>
  </w:num>
  <w:num w:numId="22">
    <w:abstractNumId w:val="18"/>
  </w:num>
  <w:num w:numId="23">
    <w:abstractNumId w:val="4"/>
  </w:num>
  <w:num w:numId="24">
    <w:abstractNumId w:val="20"/>
  </w:num>
  <w:num w:numId="25">
    <w:abstractNumId w:val="29"/>
  </w:num>
  <w:num w:numId="26">
    <w:abstractNumId w:val="23"/>
  </w:num>
  <w:num w:numId="27">
    <w:abstractNumId w:val="25"/>
  </w:num>
  <w:num w:numId="28">
    <w:abstractNumId w:val="7"/>
  </w:num>
  <w:num w:numId="29">
    <w:abstractNumId w:val="9"/>
  </w:num>
  <w:num w:numId="30">
    <w:abstractNumId w:val="1"/>
  </w:num>
  <w:num w:numId="31">
    <w:abstractNumId w:val="18"/>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86"/>
    <w:rsid w:val="00010EB1"/>
    <w:rsid w:val="00013E36"/>
    <w:rsid w:val="00014AFC"/>
    <w:rsid w:val="00017450"/>
    <w:rsid w:val="00032A38"/>
    <w:rsid w:val="00061D90"/>
    <w:rsid w:val="000635FA"/>
    <w:rsid w:val="0007004D"/>
    <w:rsid w:val="00075E98"/>
    <w:rsid w:val="00092719"/>
    <w:rsid w:val="00097A44"/>
    <w:rsid w:val="000B131F"/>
    <w:rsid w:val="000E0A1F"/>
    <w:rsid w:val="001072DB"/>
    <w:rsid w:val="00113944"/>
    <w:rsid w:val="00113C14"/>
    <w:rsid w:val="00113E86"/>
    <w:rsid w:val="00143A5A"/>
    <w:rsid w:val="00146220"/>
    <w:rsid w:val="0015497B"/>
    <w:rsid w:val="00164BE4"/>
    <w:rsid w:val="00174FEC"/>
    <w:rsid w:val="001817B8"/>
    <w:rsid w:val="0018444B"/>
    <w:rsid w:val="00186D5D"/>
    <w:rsid w:val="001957E1"/>
    <w:rsid w:val="001B7FF3"/>
    <w:rsid w:val="001C390A"/>
    <w:rsid w:val="0020498A"/>
    <w:rsid w:val="0020644F"/>
    <w:rsid w:val="00220C4E"/>
    <w:rsid w:val="00230611"/>
    <w:rsid w:val="0023704D"/>
    <w:rsid w:val="00246F11"/>
    <w:rsid w:val="00257EFB"/>
    <w:rsid w:val="002735BE"/>
    <w:rsid w:val="002832D0"/>
    <w:rsid w:val="002A3113"/>
    <w:rsid w:val="002B2419"/>
    <w:rsid w:val="002C1BE0"/>
    <w:rsid w:val="002C5502"/>
    <w:rsid w:val="002D05C6"/>
    <w:rsid w:val="002D1A26"/>
    <w:rsid w:val="002D6195"/>
    <w:rsid w:val="002E0E5C"/>
    <w:rsid w:val="002E167B"/>
    <w:rsid w:val="002F6391"/>
    <w:rsid w:val="0030449C"/>
    <w:rsid w:val="00313AAC"/>
    <w:rsid w:val="003144C4"/>
    <w:rsid w:val="00316900"/>
    <w:rsid w:val="00320A3F"/>
    <w:rsid w:val="00323965"/>
    <w:rsid w:val="00330EC5"/>
    <w:rsid w:val="00356E65"/>
    <w:rsid w:val="003832A0"/>
    <w:rsid w:val="00384358"/>
    <w:rsid w:val="003A3902"/>
    <w:rsid w:val="003B0E88"/>
    <w:rsid w:val="003C3BF4"/>
    <w:rsid w:val="003C5F34"/>
    <w:rsid w:val="0040332E"/>
    <w:rsid w:val="004305EC"/>
    <w:rsid w:val="0045459A"/>
    <w:rsid w:val="004563A8"/>
    <w:rsid w:val="00464FDF"/>
    <w:rsid w:val="00481468"/>
    <w:rsid w:val="004A52FC"/>
    <w:rsid w:val="004C5436"/>
    <w:rsid w:val="004D2B7A"/>
    <w:rsid w:val="004E68BC"/>
    <w:rsid w:val="004E782F"/>
    <w:rsid w:val="00514BD8"/>
    <w:rsid w:val="00523826"/>
    <w:rsid w:val="005249B1"/>
    <w:rsid w:val="00544CA2"/>
    <w:rsid w:val="00550104"/>
    <w:rsid w:val="005603F2"/>
    <w:rsid w:val="005732CA"/>
    <w:rsid w:val="00591AA9"/>
    <w:rsid w:val="0059721F"/>
    <w:rsid w:val="005D3E01"/>
    <w:rsid w:val="005E57B5"/>
    <w:rsid w:val="005E75DB"/>
    <w:rsid w:val="00605950"/>
    <w:rsid w:val="006132E3"/>
    <w:rsid w:val="0062027B"/>
    <w:rsid w:val="006342CF"/>
    <w:rsid w:val="00653EC3"/>
    <w:rsid w:val="00656E45"/>
    <w:rsid w:val="00657754"/>
    <w:rsid w:val="00682B03"/>
    <w:rsid w:val="006B0EF8"/>
    <w:rsid w:val="006B4710"/>
    <w:rsid w:val="006C1B4E"/>
    <w:rsid w:val="006D23D9"/>
    <w:rsid w:val="006E373E"/>
    <w:rsid w:val="006E6772"/>
    <w:rsid w:val="006E7D79"/>
    <w:rsid w:val="007075C3"/>
    <w:rsid w:val="00713087"/>
    <w:rsid w:val="00715503"/>
    <w:rsid w:val="00750020"/>
    <w:rsid w:val="007512A1"/>
    <w:rsid w:val="00777BCE"/>
    <w:rsid w:val="007A1D7B"/>
    <w:rsid w:val="007B4D43"/>
    <w:rsid w:val="007C5F40"/>
    <w:rsid w:val="007D74B0"/>
    <w:rsid w:val="007E3C15"/>
    <w:rsid w:val="007F0C15"/>
    <w:rsid w:val="008019C1"/>
    <w:rsid w:val="00813BA5"/>
    <w:rsid w:val="00855F60"/>
    <w:rsid w:val="0086287B"/>
    <w:rsid w:val="00895CC4"/>
    <w:rsid w:val="008B781A"/>
    <w:rsid w:val="008F443F"/>
    <w:rsid w:val="009222F2"/>
    <w:rsid w:val="00927A8E"/>
    <w:rsid w:val="009A4B11"/>
    <w:rsid w:val="009B6305"/>
    <w:rsid w:val="009D0B4A"/>
    <w:rsid w:val="009E3535"/>
    <w:rsid w:val="009F4494"/>
    <w:rsid w:val="00A03D74"/>
    <w:rsid w:val="00A05096"/>
    <w:rsid w:val="00A11D97"/>
    <w:rsid w:val="00A16520"/>
    <w:rsid w:val="00A23B95"/>
    <w:rsid w:val="00A34A90"/>
    <w:rsid w:val="00A61A87"/>
    <w:rsid w:val="00A64729"/>
    <w:rsid w:val="00A744F5"/>
    <w:rsid w:val="00A801A2"/>
    <w:rsid w:val="00A84854"/>
    <w:rsid w:val="00A94F56"/>
    <w:rsid w:val="00AA5884"/>
    <w:rsid w:val="00AB38DE"/>
    <w:rsid w:val="00AC0353"/>
    <w:rsid w:val="00AC6F02"/>
    <w:rsid w:val="00AE73BE"/>
    <w:rsid w:val="00B02E62"/>
    <w:rsid w:val="00B12672"/>
    <w:rsid w:val="00B26E20"/>
    <w:rsid w:val="00B400F8"/>
    <w:rsid w:val="00B525C1"/>
    <w:rsid w:val="00B52652"/>
    <w:rsid w:val="00BD66C3"/>
    <w:rsid w:val="00BE7548"/>
    <w:rsid w:val="00BE77D5"/>
    <w:rsid w:val="00BF05E4"/>
    <w:rsid w:val="00BF5D82"/>
    <w:rsid w:val="00C15E97"/>
    <w:rsid w:val="00C24579"/>
    <w:rsid w:val="00C308C7"/>
    <w:rsid w:val="00C35700"/>
    <w:rsid w:val="00C3612D"/>
    <w:rsid w:val="00C3766A"/>
    <w:rsid w:val="00C505DE"/>
    <w:rsid w:val="00C64073"/>
    <w:rsid w:val="00C84471"/>
    <w:rsid w:val="00C944A0"/>
    <w:rsid w:val="00CC47C5"/>
    <w:rsid w:val="00CF47A2"/>
    <w:rsid w:val="00CF502D"/>
    <w:rsid w:val="00D03192"/>
    <w:rsid w:val="00D03BFD"/>
    <w:rsid w:val="00D07B35"/>
    <w:rsid w:val="00D32CEC"/>
    <w:rsid w:val="00D342C2"/>
    <w:rsid w:val="00D5134F"/>
    <w:rsid w:val="00D522AE"/>
    <w:rsid w:val="00D632FB"/>
    <w:rsid w:val="00D832B3"/>
    <w:rsid w:val="00D86C9E"/>
    <w:rsid w:val="00D905CB"/>
    <w:rsid w:val="00D94C52"/>
    <w:rsid w:val="00D97BB2"/>
    <w:rsid w:val="00DB649D"/>
    <w:rsid w:val="00DE0B17"/>
    <w:rsid w:val="00E12D15"/>
    <w:rsid w:val="00E26D60"/>
    <w:rsid w:val="00E711D0"/>
    <w:rsid w:val="00E7201D"/>
    <w:rsid w:val="00E9162D"/>
    <w:rsid w:val="00E96D22"/>
    <w:rsid w:val="00EA46E3"/>
    <w:rsid w:val="00EB054D"/>
    <w:rsid w:val="00EB62A3"/>
    <w:rsid w:val="00EF0B54"/>
    <w:rsid w:val="00EF0F6C"/>
    <w:rsid w:val="00EF74F0"/>
    <w:rsid w:val="00F0562A"/>
    <w:rsid w:val="00F07802"/>
    <w:rsid w:val="00F17554"/>
    <w:rsid w:val="00F24306"/>
    <w:rsid w:val="00F44563"/>
    <w:rsid w:val="00F46069"/>
    <w:rsid w:val="00F602DE"/>
    <w:rsid w:val="00F61B8D"/>
    <w:rsid w:val="00F63A28"/>
    <w:rsid w:val="00F67A27"/>
    <w:rsid w:val="00F8443D"/>
    <w:rsid w:val="00F84EA1"/>
    <w:rsid w:val="00F87514"/>
    <w:rsid w:val="00F95AAD"/>
    <w:rsid w:val="00F97670"/>
    <w:rsid w:val="00FA638F"/>
    <w:rsid w:val="00FC5240"/>
    <w:rsid w:val="00FE316F"/>
    <w:rsid w:val="00FE58C8"/>
    <w:rsid w:val="00FE6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5E4"/>
    <w:rPr>
      <w:sz w:val="24"/>
    </w:rPr>
  </w:style>
  <w:style w:type="paragraph" w:styleId="Nadpis1">
    <w:name w:val="heading 1"/>
    <w:basedOn w:val="Normln"/>
    <w:link w:val="Nadpis1Char"/>
    <w:uiPriority w:val="9"/>
    <w:qFormat/>
    <w:rsid w:val="00653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D3E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inText">
    <w:name w:val="Main Text"/>
    <w:basedOn w:val="Normln"/>
    <w:link w:val="MainTextChar1"/>
    <w:qFormat/>
    <w:rsid w:val="00C35700"/>
    <w:pPr>
      <w:spacing w:after="120" w:line="240" w:lineRule="auto"/>
      <w:jc w:val="both"/>
    </w:pPr>
  </w:style>
  <w:style w:type="character" w:customStyle="1" w:styleId="MainTextChar1">
    <w:name w:val="Main Text Char1"/>
    <w:link w:val="MainText"/>
    <w:rsid w:val="00C35700"/>
  </w:style>
  <w:style w:type="paragraph" w:customStyle="1" w:styleId="Literatura">
    <w:name w:val="Literatura"/>
    <w:basedOn w:val="Odstavecseseznamem"/>
    <w:qFormat/>
    <w:rsid w:val="001817B8"/>
    <w:pPr>
      <w:numPr>
        <w:numId w:val="1"/>
      </w:numPr>
      <w:tabs>
        <w:tab w:val="left" w:pos="567"/>
      </w:tabs>
      <w:spacing w:after="120" w:line="240" w:lineRule="auto"/>
      <w:jc w:val="both"/>
    </w:pPr>
    <w:rPr>
      <w:rFonts w:eastAsiaTheme="minorEastAsia"/>
      <w:szCs w:val="24"/>
      <w:lang w:eastAsia="cs-CZ"/>
    </w:rPr>
  </w:style>
  <w:style w:type="paragraph" w:styleId="Odstavecseseznamem">
    <w:name w:val="List Paragraph"/>
    <w:basedOn w:val="Normln"/>
    <w:uiPriority w:val="34"/>
    <w:qFormat/>
    <w:rsid w:val="001817B8"/>
    <w:pPr>
      <w:ind w:left="720"/>
      <w:contextualSpacing/>
    </w:pPr>
  </w:style>
  <w:style w:type="paragraph" w:styleId="Textbubliny">
    <w:name w:val="Balloon Text"/>
    <w:basedOn w:val="Normln"/>
    <w:link w:val="TextbublinyChar"/>
    <w:uiPriority w:val="99"/>
    <w:semiHidden/>
    <w:unhideWhenUsed/>
    <w:rsid w:val="00113E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3E86"/>
    <w:rPr>
      <w:rFonts w:ascii="Tahoma" w:hAnsi="Tahoma" w:cs="Tahoma"/>
      <w:sz w:val="16"/>
      <w:szCs w:val="16"/>
    </w:rPr>
  </w:style>
  <w:style w:type="paragraph" w:styleId="Zhlav">
    <w:name w:val="header"/>
    <w:basedOn w:val="Normln"/>
    <w:link w:val="ZhlavChar"/>
    <w:uiPriority w:val="99"/>
    <w:unhideWhenUsed/>
    <w:rsid w:val="00113E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3E86"/>
  </w:style>
  <w:style w:type="paragraph" w:styleId="Zpat">
    <w:name w:val="footer"/>
    <w:basedOn w:val="Normln"/>
    <w:link w:val="ZpatChar"/>
    <w:uiPriority w:val="99"/>
    <w:unhideWhenUsed/>
    <w:rsid w:val="00113E86"/>
    <w:pPr>
      <w:tabs>
        <w:tab w:val="center" w:pos="4536"/>
        <w:tab w:val="right" w:pos="9072"/>
      </w:tabs>
      <w:spacing w:after="0" w:line="240" w:lineRule="auto"/>
    </w:pPr>
  </w:style>
  <w:style w:type="character" w:customStyle="1" w:styleId="ZpatChar">
    <w:name w:val="Zápatí Char"/>
    <w:basedOn w:val="Standardnpsmoodstavce"/>
    <w:link w:val="Zpat"/>
    <w:uiPriority w:val="99"/>
    <w:rsid w:val="00113E86"/>
  </w:style>
  <w:style w:type="table" w:styleId="Mkatabulky">
    <w:name w:val="Table Grid"/>
    <w:basedOn w:val="Normlntabulka"/>
    <w:uiPriority w:val="59"/>
    <w:rsid w:val="0011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C47C5"/>
    <w:rPr>
      <w:color w:val="0000FF" w:themeColor="hyperlink"/>
      <w:u w:val="single"/>
    </w:rPr>
  </w:style>
  <w:style w:type="character" w:customStyle="1" w:styleId="Nadpis1Char">
    <w:name w:val="Nadpis 1 Char"/>
    <w:basedOn w:val="Standardnpsmoodstavce"/>
    <w:link w:val="Nadpis1"/>
    <w:rsid w:val="00653EC3"/>
    <w:rPr>
      <w:rFonts w:ascii="Times New Roman" w:eastAsia="Times New Roman" w:hAnsi="Times New Roman" w:cs="Times New Roman"/>
      <w:b/>
      <w:bCs/>
      <w:kern w:val="36"/>
      <w:sz w:val="48"/>
      <w:szCs w:val="48"/>
      <w:lang w:eastAsia="cs-CZ"/>
    </w:rPr>
  </w:style>
  <w:style w:type="paragraph" w:customStyle="1" w:styleId="Letterbodyparagraphs">
    <w:name w:val="Letter body paragraphs"/>
    <w:rsid w:val="00BD66C3"/>
    <w:pPr>
      <w:spacing w:line="240" w:lineRule="auto"/>
    </w:pPr>
    <w:rPr>
      <w:rFonts w:ascii="Arial" w:eastAsia="Times New Roman" w:hAnsi="Arial" w:cs="Times New Roman"/>
      <w:sz w:val="20"/>
      <w:szCs w:val="20"/>
      <w:lang w:val="en-GB" w:eastAsia="en-GB"/>
    </w:rPr>
  </w:style>
  <w:style w:type="paragraph" w:customStyle="1" w:styleId="TableText">
    <w:name w:val="Table Text"/>
    <w:basedOn w:val="Normln"/>
    <w:link w:val="TableTextChar"/>
    <w:rsid w:val="00010EB1"/>
    <w:pPr>
      <w:spacing w:before="10" w:after="10" w:line="240" w:lineRule="auto"/>
      <w:ind w:left="17" w:right="17"/>
    </w:pPr>
    <w:rPr>
      <w:rFonts w:ascii="Calibri" w:eastAsia="MS Mincho" w:hAnsi="Calibri" w:cs="Arial"/>
      <w:sz w:val="22"/>
      <w:szCs w:val="18"/>
    </w:rPr>
  </w:style>
  <w:style w:type="character" w:customStyle="1" w:styleId="TableTextChar">
    <w:name w:val="Table Text Char"/>
    <w:link w:val="TableText"/>
    <w:rsid w:val="00010EB1"/>
    <w:rPr>
      <w:rFonts w:ascii="Calibri" w:eastAsia="MS Mincho" w:hAnsi="Calibri" w:cs="Arial"/>
      <w:szCs w:val="18"/>
    </w:rPr>
  </w:style>
  <w:style w:type="character" w:customStyle="1" w:styleId="Nadpis3Char">
    <w:name w:val="Nadpis 3 Char"/>
    <w:basedOn w:val="Standardnpsmoodstavce"/>
    <w:link w:val="Nadpis3"/>
    <w:uiPriority w:val="9"/>
    <w:semiHidden/>
    <w:rsid w:val="005D3E01"/>
    <w:rPr>
      <w:rFonts w:asciiTheme="majorHAnsi" w:eastAsiaTheme="majorEastAsia" w:hAnsiTheme="majorHAnsi" w:cstheme="majorBidi"/>
      <w:b/>
      <w:bCs/>
      <w:color w:val="4F81BD" w:themeColor="accent1"/>
      <w:sz w:val="24"/>
    </w:rPr>
  </w:style>
  <w:style w:type="paragraph" w:styleId="Zkladntext">
    <w:name w:val="Body Text"/>
    <w:aliases w:val="()odstaved,Základní text Char Char,termo,LUCIE,Základní text Char Char Char Char,Základní text Char Char Char Char Char,Základní text Char Char Char,Základní text Char Char Char Char Char Char Char Char Char Char Char,BT"/>
    <w:basedOn w:val="Normln"/>
    <w:link w:val="ZkladntextChar"/>
    <w:semiHidden/>
    <w:rsid w:val="00D86C9E"/>
    <w:pPr>
      <w:widowControl w:val="0"/>
      <w:spacing w:after="120" w:line="240" w:lineRule="auto"/>
      <w:jc w:val="both"/>
    </w:pPr>
    <w:rPr>
      <w:rFonts w:ascii="Times New Roman" w:eastAsia="Times New Roman" w:hAnsi="Times New Roman" w:cs="Times New Roman"/>
      <w:szCs w:val="20"/>
      <w:lang w:eastAsia="cs-CZ"/>
    </w:rPr>
  </w:style>
  <w:style w:type="character" w:customStyle="1" w:styleId="ZkladntextChar">
    <w:name w:val="Základní text Char"/>
    <w:aliases w:val="()odstaved Char,Základní text Char Char Char1,termo Char,LUCIE Char,Základní text Char Char Char Char Char1,Základní text Char Char Char Char Char Char,Základní text Char Char Char Char1,BT Char"/>
    <w:basedOn w:val="Standardnpsmoodstavce"/>
    <w:link w:val="Zkladntext"/>
    <w:semiHidden/>
    <w:rsid w:val="00D86C9E"/>
    <w:rPr>
      <w:rFonts w:ascii="Times New Roman" w:eastAsia="Times New Roman" w:hAnsi="Times New Roman" w:cs="Times New Roman"/>
      <w:sz w:val="24"/>
      <w:szCs w:val="20"/>
      <w:lang w:eastAsia="cs-CZ"/>
    </w:rPr>
  </w:style>
  <w:style w:type="paragraph" w:customStyle="1" w:styleId="TableHeading">
    <w:name w:val="Table Heading"/>
    <w:basedOn w:val="Normln"/>
    <w:next w:val="Normln"/>
    <w:link w:val="TableHeadingCharChar1"/>
    <w:rsid w:val="00713087"/>
    <w:pPr>
      <w:keepNext/>
      <w:numPr>
        <w:numId w:val="22"/>
      </w:numPr>
      <w:tabs>
        <w:tab w:val="left" w:pos="1418"/>
      </w:tabs>
      <w:spacing w:before="120" w:after="120" w:line="240" w:lineRule="auto"/>
      <w:jc w:val="both"/>
    </w:pPr>
    <w:rPr>
      <w:rFonts w:ascii="Calibri" w:eastAsia="MS Mincho" w:hAnsi="Calibri" w:cs="Arial"/>
      <w:b/>
      <w:bCs/>
      <w:i/>
      <w:sz w:val="22"/>
      <w:szCs w:val="16"/>
    </w:rPr>
  </w:style>
  <w:style w:type="paragraph" w:customStyle="1" w:styleId="StylTableHeadingPed18b3">
    <w:name w:val="Styl Table Heading + Před:  18 b.3"/>
    <w:basedOn w:val="TableHeading"/>
    <w:rsid w:val="00713087"/>
    <w:rPr>
      <w:rFonts w:eastAsia="Times New Roman" w:cs="Times New Roman"/>
      <w:iCs/>
      <w:szCs w:val="20"/>
    </w:rPr>
  </w:style>
  <w:style w:type="character" w:customStyle="1" w:styleId="TableHeadingCharChar1">
    <w:name w:val="Table Heading Char Char1"/>
    <w:link w:val="TableHeading"/>
    <w:rsid w:val="00143A5A"/>
    <w:rPr>
      <w:rFonts w:ascii="Calibri" w:eastAsia="MS Mincho" w:hAnsi="Calibri" w:cs="Arial"/>
      <w:b/>
      <w:bCs/>
      <w:i/>
      <w:szCs w:val="16"/>
    </w:rPr>
  </w:style>
  <w:style w:type="character" w:styleId="Odkaznakoment">
    <w:name w:val="annotation reference"/>
    <w:basedOn w:val="Standardnpsmoodstavce"/>
    <w:uiPriority w:val="99"/>
    <w:semiHidden/>
    <w:unhideWhenUsed/>
    <w:rsid w:val="005732CA"/>
    <w:rPr>
      <w:sz w:val="16"/>
      <w:szCs w:val="16"/>
    </w:rPr>
  </w:style>
  <w:style w:type="paragraph" w:styleId="Textkomente">
    <w:name w:val="annotation text"/>
    <w:basedOn w:val="Normln"/>
    <w:link w:val="TextkomenteChar"/>
    <w:uiPriority w:val="99"/>
    <w:semiHidden/>
    <w:unhideWhenUsed/>
    <w:rsid w:val="005732CA"/>
    <w:pPr>
      <w:spacing w:line="240" w:lineRule="auto"/>
    </w:pPr>
    <w:rPr>
      <w:sz w:val="20"/>
      <w:szCs w:val="20"/>
    </w:rPr>
  </w:style>
  <w:style w:type="character" w:customStyle="1" w:styleId="TextkomenteChar">
    <w:name w:val="Text komentáře Char"/>
    <w:basedOn w:val="Standardnpsmoodstavce"/>
    <w:link w:val="Textkomente"/>
    <w:uiPriority w:val="99"/>
    <w:semiHidden/>
    <w:rsid w:val="005732CA"/>
    <w:rPr>
      <w:sz w:val="20"/>
      <w:szCs w:val="20"/>
    </w:rPr>
  </w:style>
  <w:style w:type="paragraph" w:styleId="Pedmtkomente">
    <w:name w:val="annotation subject"/>
    <w:basedOn w:val="Textkomente"/>
    <w:next w:val="Textkomente"/>
    <w:link w:val="PedmtkomenteChar"/>
    <w:uiPriority w:val="99"/>
    <w:semiHidden/>
    <w:unhideWhenUsed/>
    <w:rsid w:val="005732CA"/>
    <w:rPr>
      <w:b/>
      <w:bCs/>
    </w:rPr>
  </w:style>
  <w:style w:type="character" w:customStyle="1" w:styleId="PedmtkomenteChar">
    <w:name w:val="Předmět komentáře Char"/>
    <w:basedOn w:val="TextkomenteChar"/>
    <w:link w:val="Pedmtkomente"/>
    <w:uiPriority w:val="99"/>
    <w:semiHidden/>
    <w:rsid w:val="005732CA"/>
    <w:rPr>
      <w:b/>
      <w:bCs/>
      <w:sz w:val="20"/>
      <w:szCs w:val="20"/>
    </w:rPr>
  </w:style>
  <w:style w:type="paragraph" w:styleId="Revize">
    <w:name w:val="Revision"/>
    <w:hidden/>
    <w:uiPriority w:val="99"/>
    <w:semiHidden/>
    <w:rsid w:val="00014AFC"/>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5E4"/>
    <w:rPr>
      <w:sz w:val="24"/>
    </w:rPr>
  </w:style>
  <w:style w:type="paragraph" w:styleId="Nadpis1">
    <w:name w:val="heading 1"/>
    <w:basedOn w:val="Normln"/>
    <w:link w:val="Nadpis1Char"/>
    <w:uiPriority w:val="9"/>
    <w:qFormat/>
    <w:rsid w:val="00653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D3E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inText">
    <w:name w:val="Main Text"/>
    <w:basedOn w:val="Normln"/>
    <w:link w:val="MainTextChar1"/>
    <w:qFormat/>
    <w:rsid w:val="00C35700"/>
    <w:pPr>
      <w:spacing w:after="120" w:line="240" w:lineRule="auto"/>
      <w:jc w:val="both"/>
    </w:pPr>
  </w:style>
  <w:style w:type="character" w:customStyle="1" w:styleId="MainTextChar1">
    <w:name w:val="Main Text Char1"/>
    <w:link w:val="MainText"/>
    <w:rsid w:val="00C35700"/>
  </w:style>
  <w:style w:type="paragraph" w:customStyle="1" w:styleId="Literatura">
    <w:name w:val="Literatura"/>
    <w:basedOn w:val="Odstavecseseznamem"/>
    <w:qFormat/>
    <w:rsid w:val="001817B8"/>
    <w:pPr>
      <w:numPr>
        <w:numId w:val="1"/>
      </w:numPr>
      <w:tabs>
        <w:tab w:val="left" w:pos="567"/>
      </w:tabs>
      <w:spacing w:after="120" w:line="240" w:lineRule="auto"/>
      <w:jc w:val="both"/>
    </w:pPr>
    <w:rPr>
      <w:rFonts w:eastAsiaTheme="minorEastAsia"/>
      <w:szCs w:val="24"/>
      <w:lang w:eastAsia="cs-CZ"/>
    </w:rPr>
  </w:style>
  <w:style w:type="paragraph" w:styleId="Odstavecseseznamem">
    <w:name w:val="List Paragraph"/>
    <w:basedOn w:val="Normln"/>
    <w:uiPriority w:val="34"/>
    <w:qFormat/>
    <w:rsid w:val="001817B8"/>
    <w:pPr>
      <w:ind w:left="720"/>
      <w:contextualSpacing/>
    </w:pPr>
  </w:style>
  <w:style w:type="paragraph" w:styleId="Textbubliny">
    <w:name w:val="Balloon Text"/>
    <w:basedOn w:val="Normln"/>
    <w:link w:val="TextbublinyChar"/>
    <w:uiPriority w:val="99"/>
    <w:semiHidden/>
    <w:unhideWhenUsed/>
    <w:rsid w:val="00113E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3E86"/>
    <w:rPr>
      <w:rFonts w:ascii="Tahoma" w:hAnsi="Tahoma" w:cs="Tahoma"/>
      <w:sz w:val="16"/>
      <w:szCs w:val="16"/>
    </w:rPr>
  </w:style>
  <w:style w:type="paragraph" w:styleId="Zhlav">
    <w:name w:val="header"/>
    <w:basedOn w:val="Normln"/>
    <w:link w:val="ZhlavChar"/>
    <w:uiPriority w:val="99"/>
    <w:unhideWhenUsed/>
    <w:rsid w:val="00113E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3E86"/>
  </w:style>
  <w:style w:type="paragraph" w:styleId="Zpat">
    <w:name w:val="footer"/>
    <w:basedOn w:val="Normln"/>
    <w:link w:val="ZpatChar"/>
    <w:uiPriority w:val="99"/>
    <w:unhideWhenUsed/>
    <w:rsid w:val="00113E86"/>
    <w:pPr>
      <w:tabs>
        <w:tab w:val="center" w:pos="4536"/>
        <w:tab w:val="right" w:pos="9072"/>
      </w:tabs>
      <w:spacing w:after="0" w:line="240" w:lineRule="auto"/>
    </w:pPr>
  </w:style>
  <w:style w:type="character" w:customStyle="1" w:styleId="ZpatChar">
    <w:name w:val="Zápatí Char"/>
    <w:basedOn w:val="Standardnpsmoodstavce"/>
    <w:link w:val="Zpat"/>
    <w:uiPriority w:val="99"/>
    <w:rsid w:val="00113E86"/>
  </w:style>
  <w:style w:type="table" w:styleId="Mkatabulky">
    <w:name w:val="Table Grid"/>
    <w:basedOn w:val="Normlntabulka"/>
    <w:uiPriority w:val="59"/>
    <w:rsid w:val="0011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C47C5"/>
    <w:rPr>
      <w:color w:val="0000FF" w:themeColor="hyperlink"/>
      <w:u w:val="single"/>
    </w:rPr>
  </w:style>
  <w:style w:type="character" w:customStyle="1" w:styleId="Nadpis1Char">
    <w:name w:val="Nadpis 1 Char"/>
    <w:basedOn w:val="Standardnpsmoodstavce"/>
    <w:link w:val="Nadpis1"/>
    <w:rsid w:val="00653EC3"/>
    <w:rPr>
      <w:rFonts w:ascii="Times New Roman" w:eastAsia="Times New Roman" w:hAnsi="Times New Roman" w:cs="Times New Roman"/>
      <w:b/>
      <w:bCs/>
      <w:kern w:val="36"/>
      <w:sz w:val="48"/>
      <w:szCs w:val="48"/>
      <w:lang w:eastAsia="cs-CZ"/>
    </w:rPr>
  </w:style>
  <w:style w:type="paragraph" w:customStyle="1" w:styleId="Letterbodyparagraphs">
    <w:name w:val="Letter body paragraphs"/>
    <w:rsid w:val="00BD66C3"/>
    <w:pPr>
      <w:spacing w:line="240" w:lineRule="auto"/>
    </w:pPr>
    <w:rPr>
      <w:rFonts w:ascii="Arial" w:eastAsia="Times New Roman" w:hAnsi="Arial" w:cs="Times New Roman"/>
      <w:sz w:val="20"/>
      <w:szCs w:val="20"/>
      <w:lang w:val="en-GB" w:eastAsia="en-GB"/>
    </w:rPr>
  </w:style>
  <w:style w:type="paragraph" w:customStyle="1" w:styleId="TableText">
    <w:name w:val="Table Text"/>
    <w:basedOn w:val="Normln"/>
    <w:link w:val="TableTextChar"/>
    <w:rsid w:val="00010EB1"/>
    <w:pPr>
      <w:spacing w:before="10" w:after="10" w:line="240" w:lineRule="auto"/>
      <w:ind w:left="17" w:right="17"/>
    </w:pPr>
    <w:rPr>
      <w:rFonts w:ascii="Calibri" w:eastAsia="MS Mincho" w:hAnsi="Calibri" w:cs="Arial"/>
      <w:sz w:val="22"/>
      <w:szCs w:val="18"/>
    </w:rPr>
  </w:style>
  <w:style w:type="character" w:customStyle="1" w:styleId="TableTextChar">
    <w:name w:val="Table Text Char"/>
    <w:link w:val="TableText"/>
    <w:rsid w:val="00010EB1"/>
    <w:rPr>
      <w:rFonts w:ascii="Calibri" w:eastAsia="MS Mincho" w:hAnsi="Calibri" w:cs="Arial"/>
      <w:szCs w:val="18"/>
    </w:rPr>
  </w:style>
  <w:style w:type="character" w:customStyle="1" w:styleId="Nadpis3Char">
    <w:name w:val="Nadpis 3 Char"/>
    <w:basedOn w:val="Standardnpsmoodstavce"/>
    <w:link w:val="Nadpis3"/>
    <w:uiPriority w:val="9"/>
    <w:semiHidden/>
    <w:rsid w:val="005D3E01"/>
    <w:rPr>
      <w:rFonts w:asciiTheme="majorHAnsi" w:eastAsiaTheme="majorEastAsia" w:hAnsiTheme="majorHAnsi" w:cstheme="majorBidi"/>
      <w:b/>
      <w:bCs/>
      <w:color w:val="4F81BD" w:themeColor="accent1"/>
      <w:sz w:val="24"/>
    </w:rPr>
  </w:style>
  <w:style w:type="paragraph" w:styleId="Zkladntext">
    <w:name w:val="Body Text"/>
    <w:aliases w:val="()odstaved,Základní text Char Char,termo,LUCIE,Základní text Char Char Char Char,Základní text Char Char Char Char Char,Základní text Char Char Char,Základní text Char Char Char Char Char Char Char Char Char Char Char,BT"/>
    <w:basedOn w:val="Normln"/>
    <w:link w:val="ZkladntextChar"/>
    <w:semiHidden/>
    <w:rsid w:val="00D86C9E"/>
    <w:pPr>
      <w:widowControl w:val="0"/>
      <w:spacing w:after="120" w:line="240" w:lineRule="auto"/>
      <w:jc w:val="both"/>
    </w:pPr>
    <w:rPr>
      <w:rFonts w:ascii="Times New Roman" w:eastAsia="Times New Roman" w:hAnsi="Times New Roman" w:cs="Times New Roman"/>
      <w:szCs w:val="20"/>
      <w:lang w:eastAsia="cs-CZ"/>
    </w:rPr>
  </w:style>
  <w:style w:type="character" w:customStyle="1" w:styleId="ZkladntextChar">
    <w:name w:val="Základní text Char"/>
    <w:aliases w:val="()odstaved Char,Základní text Char Char Char1,termo Char,LUCIE Char,Základní text Char Char Char Char Char1,Základní text Char Char Char Char Char Char,Základní text Char Char Char Char1,BT Char"/>
    <w:basedOn w:val="Standardnpsmoodstavce"/>
    <w:link w:val="Zkladntext"/>
    <w:semiHidden/>
    <w:rsid w:val="00D86C9E"/>
    <w:rPr>
      <w:rFonts w:ascii="Times New Roman" w:eastAsia="Times New Roman" w:hAnsi="Times New Roman" w:cs="Times New Roman"/>
      <w:sz w:val="24"/>
      <w:szCs w:val="20"/>
      <w:lang w:eastAsia="cs-CZ"/>
    </w:rPr>
  </w:style>
  <w:style w:type="paragraph" w:customStyle="1" w:styleId="TableHeading">
    <w:name w:val="Table Heading"/>
    <w:basedOn w:val="Normln"/>
    <w:next w:val="Normln"/>
    <w:link w:val="TableHeadingCharChar1"/>
    <w:rsid w:val="00713087"/>
    <w:pPr>
      <w:keepNext/>
      <w:numPr>
        <w:numId w:val="22"/>
      </w:numPr>
      <w:tabs>
        <w:tab w:val="left" w:pos="1418"/>
      </w:tabs>
      <w:spacing w:before="120" w:after="120" w:line="240" w:lineRule="auto"/>
      <w:jc w:val="both"/>
    </w:pPr>
    <w:rPr>
      <w:rFonts w:ascii="Calibri" w:eastAsia="MS Mincho" w:hAnsi="Calibri" w:cs="Arial"/>
      <w:b/>
      <w:bCs/>
      <w:i/>
      <w:sz w:val="22"/>
      <w:szCs w:val="16"/>
    </w:rPr>
  </w:style>
  <w:style w:type="paragraph" w:customStyle="1" w:styleId="StylTableHeadingPed18b3">
    <w:name w:val="Styl Table Heading + Před:  18 b.3"/>
    <w:basedOn w:val="TableHeading"/>
    <w:rsid w:val="00713087"/>
    <w:rPr>
      <w:rFonts w:eastAsia="Times New Roman" w:cs="Times New Roman"/>
      <w:iCs/>
      <w:szCs w:val="20"/>
    </w:rPr>
  </w:style>
  <w:style w:type="character" w:customStyle="1" w:styleId="TableHeadingCharChar1">
    <w:name w:val="Table Heading Char Char1"/>
    <w:link w:val="TableHeading"/>
    <w:rsid w:val="00143A5A"/>
    <w:rPr>
      <w:rFonts w:ascii="Calibri" w:eastAsia="MS Mincho" w:hAnsi="Calibri" w:cs="Arial"/>
      <w:b/>
      <w:bCs/>
      <w:i/>
      <w:szCs w:val="16"/>
    </w:rPr>
  </w:style>
  <w:style w:type="character" w:styleId="Odkaznakoment">
    <w:name w:val="annotation reference"/>
    <w:basedOn w:val="Standardnpsmoodstavce"/>
    <w:uiPriority w:val="99"/>
    <w:semiHidden/>
    <w:unhideWhenUsed/>
    <w:rsid w:val="005732CA"/>
    <w:rPr>
      <w:sz w:val="16"/>
      <w:szCs w:val="16"/>
    </w:rPr>
  </w:style>
  <w:style w:type="paragraph" w:styleId="Textkomente">
    <w:name w:val="annotation text"/>
    <w:basedOn w:val="Normln"/>
    <w:link w:val="TextkomenteChar"/>
    <w:uiPriority w:val="99"/>
    <w:semiHidden/>
    <w:unhideWhenUsed/>
    <w:rsid w:val="005732CA"/>
    <w:pPr>
      <w:spacing w:line="240" w:lineRule="auto"/>
    </w:pPr>
    <w:rPr>
      <w:sz w:val="20"/>
      <w:szCs w:val="20"/>
    </w:rPr>
  </w:style>
  <w:style w:type="character" w:customStyle="1" w:styleId="TextkomenteChar">
    <w:name w:val="Text komentáře Char"/>
    <w:basedOn w:val="Standardnpsmoodstavce"/>
    <w:link w:val="Textkomente"/>
    <w:uiPriority w:val="99"/>
    <w:semiHidden/>
    <w:rsid w:val="005732CA"/>
    <w:rPr>
      <w:sz w:val="20"/>
      <w:szCs w:val="20"/>
    </w:rPr>
  </w:style>
  <w:style w:type="paragraph" w:styleId="Pedmtkomente">
    <w:name w:val="annotation subject"/>
    <w:basedOn w:val="Textkomente"/>
    <w:next w:val="Textkomente"/>
    <w:link w:val="PedmtkomenteChar"/>
    <w:uiPriority w:val="99"/>
    <w:semiHidden/>
    <w:unhideWhenUsed/>
    <w:rsid w:val="005732CA"/>
    <w:rPr>
      <w:b/>
      <w:bCs/>
    </w:rPr>
  </w:style>
  <w:style w:type="character" w:customStyle="1" w:styleId="PedmtkomenteChar">
    <w:name w:val="Předmět komentáře Char"/>
    <w:basedOn w:val="TextkomenteChar"/>
    <w:link w:val="Pedmtkomente"/>
    <w:uiPriority w:val="99"/>
    <w:semiHidden/>
    <w:rsid w:val="005732CA"/>
    <w:rPr>
      <w:b/>
      <w:bCs/>
      <w:sz w:val="20"/>
      <w:szCs w:val="20"/>
    </w:rPr>
  </w:style>
  <w:style w:type="paragraph" w:styleId="Revize">
    <w:name w:val="Revision"/>
    <w:hidden/>
    <w:uiPriority w:val="99"/>
    <w:semiHidden/>
    <w:rsid w:val="00014AF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9467">
      <w:bodyDiv w:val="1"/>
      <w:marLeft w:val="0"/>
      <w:marRight w:val="0"/>
      <w:marTop w:val="0"/>
      <w:marBottom w:val="0"/>
      <w:divBdr>
        <w:top w:val="none" w:sz="0" w:space="0" w:color="auto"/>
        <w:left w:val="none" w:sz="0" w:space="0" w:color="auto"/>
        <w:bottom w:val="none" w:sz="0" w:space="0" w:color="auto"/>
        <w:right w:val="none" w:sz="0" w:space="0" w:color="auto"/>
      </w:divBdr>
      <w:divsChild>
        <w:div w:id="147482685">
          <w:marLeft w:val="0"/>
          <w:marRight w:val="0"/>
          <w:marTop w:val="0"/>
          <w:marBottom w:val="0"/>
          <w:divBdr>
            <w:top w:val="none" w:sz="0" w:space="0" w:color="auto"/>
            <w:left w:val="none" w:sz="0" w:space="0" w:color="auto"/>
            <w:bottom w:val="none" w:sz="0" w:space="0" w:color="auto"/>
            <w:right w:val="none" w:sz="0" w:space="0" w:color="auto"/>
          </w:divBdr>
        </w:div>
        <w:div w:id="332074851">
          <w:marLeft w:val="0"/>
          <w:marRight w:val="0"/>
          <w:marTop w:val="0"/>
          <w:marBottom w:val="0"/>
          <w:divBdr>
            <w:top w:val="none" w:sz="0" w:space="0" w:color="auto"/>
            <w:left w:val="none" w:sz="0" w:space="0" w:color="auto"/>
            <w:bottom w:val="none" w:sz="0" w:space="0" w:color="auto"/>
            <w:right w:val="none" w:sz="0" w:space="0" w:color="auto"/>
          </w:divBdr>
          <w:divsChild>
            <w:div w:id="251738348">
              <w:marLeft w:val="0"/>
              <w:marRight w:val="0"/>
              <w:marTop w:val="0"/>
              <w:marBottom w:val="0"/>
              <w:divBdr>
                <w:top w:val="none" w:sz="0" w:space="0" w:color="auto"/>
                <w:left w:val="none" w:sz="0" w:space="0" w:color="auto"/>
                <w:bottom w:val="none" w:sz="0" w:space="0" w:color="auto"/>
                <w:right w:val="none" w:sz="0" w:space="0" w:color="auto"/>
              </w:divBdr>
            </w:div>
            <w:div w:id="772824017">
              <w:marLeft w:val="0"/>
              <w:marRight w:val="0"/>
              <w:marTop w:val="0"/>
              <w:marBottom w:val="0"/>
              <w:divBdr>
                <w:top w:val="none" w:sz="0" w:space="0" w:color="auto"/>
                <w:left w:val="none" w:sz="0" w:space="0" w:color="auto"/>
                <w:bottom w:val="none" w:sz="0" w:space="0" w:color="auto"/>
                <w:right w:val="none" w:sz="0" w:space="0" w:color="auto"/>
              </w:divBdr>
            </w:div>
            <w:div w:id="1020670173">
              <w:marLeft w:val="0"/>
              <w:marRight w:val="0"/>
              <w:marTop w:val="0"/>
              <w:marBottom w:val="0"/>
              <w:divBdr>
                <w:top w:val="none" w:sz="0" w:space="0" w:color="auto"/>
                <w:left w:val="none" w:sz="0" w:space="0" w:color="auto"/>
                <w:bottom w:val="none" w:sz="0" w:space="0" w:color="auto"/>
                <w:right w:val="none" w:sz="0" w:space="0" w:color="auto"/>
              </w:divBdr>
            </w:div>
            <w:div w:id="1609779758">
              <w:marLeft w:val="0"/>
              <w:marRight w:val="0"/>
              <w:marTop w:val="0"/>
              <w:marBottom w:val="0"/>
              <w:divBdr>
                <w:top w:val="none" w:sz="0" w:space="0" w:color="auto"/>
                <w:left w:val="none" w:sz="0" w:space="0" w:color="auto"/>
                <w:bottom w:val="none" w:sz="0" w:space="0" w:color="auto"/>
                <w:right w:val="none" w:sz="0" w:space="0" w:color="auto"/>
              </w:divBdr>
            </w:div>
          </w:divsChild>
        </w:div>
        <w:div w:id="1409695415">
          <w:marLeft w:val="0"/>
          <w:marRight w:val="0"/>
          <w:marTop w:val="0"/>
          <w:marBottom w:val="0"/>
          <w:divBdr>
            <w:top w:val="none" w:sz="0" w:space="0" w:color="auto"/>
            <w:left w:val="none" w:sz="0" w:space="0" w:color="auto"/>
            <w:bottom w:val="none" w:sz="0" w:space="0" w:color="auto"/>
            <w:right w:val="none" w:sz="0" w:space="0" w:color="auto"/>
          </w:divBdr>
        </w:div>
      </w:divsChild>
    </w:div>
    <w:div w:id="605970121">
      <w:bodyDiv w:val="1"/>
      <w:marLeft w:val="0"/>
      <w:marRight w:val="0"/>
      <w:marTop w:val="0"/>
      <w:marBottom w:val="0"/>
      <w:divBdr>
        <w:top w:val="none" w:sz="0" w:space="0" w:color="auto"/>
        <w:left w:val="none" w:sz="0" w:space="0" w:color="auto"/>
        <w:bottom w:val="none" w:sz="0" w:space="0" w:color="auto"/>
        <w:right w:val="none" w:sz="0" w:space="0" w:color="auto"/>
      </w:divBdr>
    </w:div>
    <w:div w:id="663050894">
      <w:bodyDiv w:val="1"/>
      <w:marLeft w:val="0"/>
      <w:marRight w:val="0"/>
      <w:marTop w:val="0"/>
      <w:marBottom w:val="0"/>
      <w:divBdr>
        <w:top w:val="none" w:sz="0" w:space="0" w:color="auto"/>
        <w:left w:val="none" w:sz="0" w:space="0" w:color="auto"/>
        <w:bottom w:val="none" w:sz="0" w:space="0" w:color="auto"/>
        <w:right w:val="none" w:sz="0" w:space="0" w:color="auto"/>
      </w:divBdr>
    </w:div>
    <w:div w:id="696347363">
      <w:bodyDiv w:val="1"/>
      <w:marLeft w:val="0"/>
      <w:marRight w:val="0"/>
      <w:marTop w:val="0"/>
      <w:marBottom w:val="0"/>
      <w:divBdr>
        <w:top w:val="none" w:sz="0" w:space="0" w:color="auto"/>
        <w:left w:val="none" w:sz="0" w:space="0" w:color="auto"/>
        <w:bottom w:val="none" w:sz="0" w:space="0" w:color="auto"/>
        <w:right w:val="none" w:sz="0" w:space="0" w:color="auto"/>
      </w:divBdr>
      <w:divsChild>
        <w:div w:id="1846165139">
          <w:marLeft w:val="0"/>
          <w:marRight w:val="0"/>
          <w:marTop w:val="0"/>
          <w:marBottom w:val="0"/>
          <w:divBdr>
            <w:top w:val="none" w:sz="0" w:space="0" w:color="auto"/>
            <w:left w:val="none" w:sz="0" w:space="0" w:color="auto"/>
            <w:bottom w:val="none" w:sz="0" w:space="0" w:color="auto"/>
            <w:right w:val="none" w:sz="0" w:space="0" w:color="auto"/>
          </w:divBdr>
          <w:divsChild>
            <w:div w:id="419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351">
      <w:bodyDiv w:val="1"/>
      <w:marLeft w:val="0"/>
      <w:marRight w:val="0"/>
      <w:marTop w:val="0"/>
      <w:marBottom w:val="0"/>
      <w:divBdr>
        <w:top w:val="none" w:sz="0" w:space="0" w:color="auto"/>
        <w:left w:val="none" w:sz="0" w:space="0" w:color="auto"/>
        <w:bottom w:val="none" w:sz="0" w:space="0" w:color="auto"/>
        <w:right w:val="none" w:sz="0" w:space="0" w:color="auto"/>
      </w:divBdr>
    </w:div>
    <w:div w:id="733624256">
      <w:bodyDiv w:val="1"/>
      <w:marLeft w:val="0"/>
      <w:marRight w:val="0"/>
      <w:marTop w:val="0"/>
      <w:marBottom w:val="0"/>
      <w:divBdr>
        <w:top w:val="none" w:sz="0" w:space="0" w:color="auto"/>
        <w:left w:val="none" w:sz="0" w:space="0" w:color="auto"/>
        <w:bottom w:val="none" w:sz="0" w:space="0" w:color="auto"/>
        <w:right w:val="none" w:sz="0" w:space="0" w:color="auto"/>
      </w:divBdr>
    </w:div>
    <w:div w:id="783496656">
      <w:bodyDiv w:val="1"/>
      <w:marLeft w:val="0"/>
      <w:marRight w:val="0"/>
      <w:marTop w:val="0"/>
      <w:marBottom w:val="0"/>
      <w:divBdr>
        <w:top w:val="none" w:sz="0" w:space="0" w:color="auto"/>
        <w:left w:val="none" w:sz="0" w:space="0" w:color="auto"/>
        <w:bottom w:val="none" w:sz="0" w:space="0" w:color="auto"/>
        <w:right w:val="none" w:sz="0" w:space="0" w:color="auto"/>
      </w:divBdr>
    </w:div>
    <w:div w:id="946158287">
      <w:bodyDiv w:val="1"/>
      <w:marLeft w:val="0"/>
      <w:marRight w:val="0"/>
      <w:marTop w:val="0"/>
      <w:marBottom w:val="0"/>
      <w:divBdr>
        <w:top w:val="none" w:sz="0" w:space="0" w:color="auto"/>
        <w:left w:val="none" w:sz="0" w:space="0" w:color="auto"/>
        <w:bottom w:val="none" w:sz="0" w:space="0" w:color="auto"/>
        <w:right w:val="none" w:sz="0" w:space="0" w:color="auto"/>
      </w:divBdr>
    </w:div>
    <w:div w:id="1008868482">
      <w:bodyDiv w:val="1"/>
      <w:marLeft w:val="0"/>
      <w:marRight w:val="0"/>
      <w:marTop w:val="0"/>
      <w:marBottom w:val="0"/>
      <w:divBdr>
        <w:top w:val="none" w:sz="0" w:space="0" w:color="auto"/>
        <w:left w:val="none" w:sz="0" w:space="0" w:color="auto"/>
        <w:bottom w:val="none" w:sz="0" w:space="0" w:color="auto"/>
        <w:right w:val="none" w:sz="0" w:space="0" w:color="auto"/>
      </w:divBdr>
      <w:divsChild>
        <w:div w:id="1875774714">
          <w:marLeft w:val="0"/>
          <w:marRight w:val="0"/>
          <w:marTop w:val="0"/>
          <w:marBottom w:val="0"/>
          <w:divBdr>
            <w:top w:val="none" w:sz="0" w:space="0" w:color="auto"/>
            <w:left w:val="none" w:sz="0" w:space="0" w:color="auto"/>
            <w:bottom w:val="none" w:sz="0" w:space="0" w:color="auto"/>
            <w:right w:val="none" w:sz="0" w:space="0" w:color="auto"/>
          </w:divBdr>
        </w:div>
        <w:div w:id="1688142109">
          <w:marLeft w:val="0"/>
          <w:marRight w:val="0"/>
          <w:marTop w:val="0"/>
          <w:marBottom w:val="0"/>
          <w:divBdr>
            <w:top w:val="none" w:sz="0" w:space="0" w:color="auto"/>
            <w:left w:val="none" w:sz="0" w:space="0" w:color="auto"/>
            <w:bottom w:val="none" w:sz="0" w:space="0" w:color="auto"/>
            <w:right w:val="none" w:sz="0" w:space="0" w:color="auto"/>
          </w:divBdr>
        </w:div>
      </w:divsChild>
    </w:div>
    <w:div w:id="1381904516">
      <w:bodyDiv w:val="1"/>
      <w:marLeft w:val="0"/>
      <w:marRight w:val="0"/>
      <w:marTop w:val="0"/>
      <w:marBottom w:val="0"/>
      <w:divBdr>
        <w:top w:val="none" w:sz="0" w:space="0" w:color="auto"/>
        <w:left w:val="none" w:sz="0" w:space="0" w:color="auto"/>
        <w:bottom w:val="none" w:sz="0" w:space="0" w:color="auto"/>
        <w:right w:val="none" w:sz="0" w:space="0" w:color="auto"/>
      </w:divBdr>
    </w:div>
    <w:div w:id="1392197151">
      <w:bodyDiv w:val="1"/>
      <w:marLeft w:val="0"/>
      <w:marRight w:val="0"/>
      <w:marTop w:val="0"/>
      <w:marBottom w:val="0"/>
      <w:divBdr>
        <w:top w:val="none" w:sz="0" w:space="0" w:color="auto"/>
        <w:left w:val="none" w:sz="0" w:space="0" w:color="auto"/>
        <w:bottom w:val="none" w:sz="0" w:space="0" w:color="auto"/>
        <w:right w:val="none" w:sz="0" w:space="0" w:color="auto"/>
      </w:divBdr>
    </w:div>
    <w:div w:id="1563982385">
      <w:bodyDiv w:val="1"/>
      <w:marLeft w:val="0"/>
      <w:marRight w:val="0"/>
      <w:marTop w:val="0"/>
      <w:marBottom w:val="0"/>
      <w:divBdr>
        <w:top w:val="none" w:sz="0" w:space="0" w:color="auto"/>
        <w:left w:val="none" w:sz="0" w:space="0" w:color="auto"/>
        <w:bottom w:val="none" w:sz="0" w:space="0" w:color="auto"/>
        <w:right w:val="none" w:sz="0" w:space="0" w:color="auto"/>
      </w:divBdr>
    </w:div>
    <w:div w:id="1583107257">
      <w:bodyDiv w:val="1"/>
      <w:marLeft w:val="0"/>
      <w:marRight w:val="0"/>
      <w:marTop w:val="0"/>
      <w:marBottom w:val="0"/>
      <w:divBdr>
        <w:top w:val="none" w:sz="0" w:space="0" w:color="auto"/>
        <w:left w:val="none" w:sz="0" w:space="0" w:color="auto"/>
        <w:bottom w:val="none" w:sz="0" w:space="0" w:color="auto"/>
        <w:right w:val="none" w:sz="0" w:space="0" w:color="auto"/>
      </w:divBdr>
    </w:div>
    <w:div w:id="1815098670">
      <w:bodyDiv w:val="1"/>
      <w:marLeft w:val="0"/>
      <w:marRight w:val="0"/>
      <w:marTop w:val="0"/>
      <w:marBottom w:val="0"/>
      <w:divBdr>
        <w:top w:val="none" w:sz="0" w:space="0" w:color="auto"/>
        <w:left w:val="none" w:sz="0" w:space="0" w:color="auto"/>
        <w:bottom w:val="none" w:sz="0" w:space="0" w:color="auto"/>
        <w:right w:val="none" w:sz="0" w:space="0" w:color="auto"/>
      </w:divBdr>
    </w:div>
    <w:div w:id="1967849582">
      <w:bodyDiv w:val="1"/>
      <w:marLeft w:val="0"/>
      <w:marRight w:val="0"/>
      <w:marTop w:val="0"/>
      <w:marBottom w:val="0"/>
      <w:divBdr>
        <w:top w:val="none" w:sz="0" w:space="0" w:color="auto"/>
        <w:left w:val="none" w:sz="0" w:space="0" w:color="auto"/>
        <w:bottom w:val="none" w:sz="0" w:space="0" w:color="auto"/>
        <w:right w:val="none" w:sz="0" w:space="0" w:color="auto"/>
      </w:divBdr>
    </w:div>
    <w:div w:id="19947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enaco.cz" TargetMode="External"/><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89ED-5BF4-49DD-A920-47028E92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2785</Words>
  <Characters>16434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ENA s.r.o.</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Jakubes</dc:creator>
  <cp:lastModifiedBy>msvab</cp:lastModifiedBy>
  <cp:revision>3</cp:revision>
  <cp:lastPrinted>2015-07-22T13:10:00Z</cp:lastPrinted>
  <dcterms:created xsi:type="dcterms:W3CDTF">2018-01-05T11:41:00Z</dcterms:created>
  <dcterms:modified xsi:type="dcterms:W3CDTF">2018-01-05T11:43:00Z</dcterms:modified>
</cp:coreProperties>
</file>