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0F" w:rsidRDefault="00181150">
      <w:pPr>
        <w:jc w:val="right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Příloha č. 6</w:t>
      </w:r>
    </w:p>
    <w:p w:rsidR="00185642" w:rsidRDefault="00185642">
      <w:pPr>
        <w:jc w:val="right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Specifikace</w:t>
      </w:r>
    </w:p>
    <w:p w:rsidR="00185642" w:rsidRDefault="00185642">
      <w:pPr>
        <w:jc w:val="right"/>
        <w:rPr>
          <w:rFonts w:ascii="Garamond" w:hAnsi="Garamond"/>
          <w:b/>
          <w:iCs/>
          <w:sz w:val="24"/>
          <w:szCs w:val="24"/>
        </w:rPr>
      </w:pPr>
    </w:p>
    <w:p w:rsidR="00185642" w:rsidRPr="003E3221" w:rsidRDefault="00185642" w:rsidP="00185642">
      <w:pPr>
        <w:jc w:val="both"/>
        <w:rPr>
          <w:rFonts w:ascii="Garamond" w:hAnsi="Garamond"/>
          <w:b/>
          <w:iCs/>
          <w:sz w:val="24"/>
          <w:szCs w:val="24"/>
        </w:rPr>
      </w:pPr>
    </w:p>
    <w:p w:rsidR="00185642" w:rsidRDefault="00185642" w:rsidP="00185642">
      <w:pPr>
        <w:pStyle w:val="Nadpis"/>
        <w:spacing w:before="0" w:after="0"/>
        <w:jc w:val="both"/>
        <w:rPr>
          <w:rFonts w:ascii="Times New Roman" w:hAnsi="Times New Roman"/>
          <w:b/>
          <w:bCs/>
        </w:rPr>
      </w:pPr>
      <w:r w:rsidRPr="00185642"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t>Lůžka pro intenzivní péči v prostředí ARO 2 kusy vybavené plně integrovaným aktivním antidekubitním systémem do IV. st.,</w:t>
      </w:r>
      <w:r>
        <w:rPr>
          <w:rFonts w:ascii="Times New Roman" w:hAnsi="Times New Roman"/>
        </w:rPr>
        <w:t xml:space="preserve"> </w:t>
      </w:r>
    </w:p>
    <w:p w:rsidR="00185642" w:rsidRDefault="00185642" w:rsidP="00185642">
      <w:pPr>
        <w:pStyle w:val="Nadpis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185642" w:rsidRPr="00185642" w:rsidRDefault="00185642" w:rsidP="00185642">
      <w:pPr>
        <w:pStyle w:val="Nadpis"/>
        <w:spacing w:before="0" w:after="0"/>
        <w:jc w:val="both"/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</w:pPr>
      <w:r w:rsidRPr="00185642"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t>Minimální technické parametry</w:t>
      </w:r>
      <w:r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t xml:space="preserve"> lůžka</w:t>
      </w:r>
      <w:r w:rsidRPr="00185642"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t>: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bezpečná pracovní zátěž – min. 200 kg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elektricky polohovatelná ložná plocha cca 200x85cm – jednotlivé díly polohovatelné nezávisle pomocí elektromotorů, nastavení jakékoliv polohy plně pomocí motoru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elektricky nastavitelná výška lůžka    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oboustranný laterální náklon minimálně 15° , 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automatická bezpečnostní blokace laterálního náklonu při spuštěné postranici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indikátor stupně náklonu zádového dílu (náklon alespoň do 30°)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náklon při pozici Trendelenburg / anti–Trendelenburg minimálně 10°, integrovaný indikátor stupně náklonu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ortopnoická poloha 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možnost prodloužení lůžka minimálně o 10 cm pomocí elektromotoru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oboustranně mechanické rychlospuštění zádového dílu při KPR    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kompaktní, odnímatelná, celoplastová, snadno čistitelná čela s aretací proti samovolnému vytažení při transportu    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kompaktní snadno čistitelné celoplastové dělené postranice s integrovanými ovladači, výška postranic minimálně 45 cm nad povrchem ložné plochy, automatická blokace jejich spuštění při zatížení pacientem zevnitř, podmínka bezpečných mezer mezi jednotlivými díly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automatická váha - integrovaný vážící systém  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centrální ovládací panel pro ovládání lůžka, vážícího systému, event. integrovaného antidekubitního systému a programovatelných funkcí v nožní postranici, panel musí být opatřen ochranou proti nechtěné aktivaci s možno</w:t>
      </w:r>
      <w:r w:rsidRPr="00185642">
        <w:rPr>
          <w:rFonts w:ascii="Garamond" w:hAnsi="Garamond"/>
          <w:szCs w:val="28"/>
        </w:rPr>
        <w:t>stí blokace jednotlivých funkcí</w:t>
      </w:r>
      <w:r w:rsidRPr="00185642">
        <w:rPr>
          <w:rFonts w:ascii="Garamond" w:hAnsi="Garamond"/>
          <w:szCs w:val="28"/>
        </w:rPr>
        <w:t>, s výhodou možnost  přednaprogramování důležitých poloh (poloha KPR, ortopnoická poloha, Trendelenburgova poloha, případně další)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 xml:space="preserve">ovladač pro pacienty 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RTG transparentní ložná plocha (RTG vyšetření plic na lůžku pacienta)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dvojitá kolečka s centrálním ovládáním brzd ve všech rozích lůžka, průměr minimálně 150 mm, centrální páté kolečko pro snadný transport a manipulaci s lůžkem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univerzální lišty a držáky na příslušenství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ochranné prvky v rozích lůžka (ochrana lůžka před poškozením při transportu)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stabilní a jednoduše čistitelná konstrukce lůžka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noční podsvícení lůžka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spacing w:before="0" w:after="0"/>
        <w:ind w:left="284" w:hanging="284"/>
        <w:jc w:val="both"/>
        <w:rPr>
          <w:rFonts w:ascii="Garamond" w:eastAsia="Times New Roman" w:hAnsi="Garamond"/>
          <w:kern w:val="0"/>
          <w:sz w:val="22"/>
          <w:szCs w:val="16"/>
          <w:lang w:eastAsia="cs-CZ"/>
        </w:rPr>
      </w:pPr>
      <w:r w:rsidRPr="00185642">
        <w:rPr>
          <w:rFonts w:ascii="Garamond" w:eastAsia="Times New Roman" w:hAnsi="Garamond"/>
          <w:kern w:val="0"/>
          <w:sz w:val="22"/>
          <w:szCs w:val="16"/>
          <w:lang w:eastAsia="cs-CZ"/>
        </w:rPr>
        <w:t>nožní ovladače - nastavení výšky a laterálního náklonu, s oc</w:t>
      </w:r>
      <w:r>
        <w:rPr>
          <w:rFonts w:ascii="Garamond" w:eastAsia="Times New Roman" w:hAnsi="Garamond"/>
          <w:kern w:val="0"/>
          <w:sz w:val="22"/>
          <w:szCs w:val="16"/>
          <w:lang w:eastAsia="cs-CZ"/>
        </w:rPr>
        <w:t>hranou proti neúmyslné aktivaci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bezpečnost lůžka  - shoda s normou EN 60601-2-52 v platném znění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alarm opuštění lůžka pacientem a alarm upozorňující na hrozící nebezpečí pádu pacienta z lůžka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systém ochrany před opomenutím nezabrzděného lůžka (alarm nezabrzděného lůžka, event. automatická brzda)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svod el. potenciálu, bezpečnostní kroucený přívodní kabel</w:t>
      </w:r>
    </w:p>
    <w:p w:rsidR="00185642" w:rsidRPr="00185642" w:rsidRDefault="00185642" w:rsidP="0018564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Garamond" w:hAnsi="Garamond"/>
          <w:szCs w:val="28"/>
        </w:rPr>
      </w:pPr>
      <w:r w:rsidRPr="00185642">
        <w:rPr>
          <w:rFonts w:ascii="Garamond" w:hAnsi="Garamond"/>
          <w:szCs w:val="28"/>
        </w:rPr>
        <w:t>zálohová baterie s autodiagnostikou kapacity a životnosti</w:t>
      </w:r>
    </w:p>
    <w:p w:rsidR="00185642" w:rsidRDefault="00185642" w:rsidP="00185642">
      <w:pPr>
        <w:pStyle w:val="Nadpis"/>
        <w:keepNext w:val="0"/>
        <w:spacing w:before="0" w:after="0"/>
        <w:jc w:val="both"/>
        <w:rPr>
          <w:rFonts w:ascii="Times New Roman" w:hAnsi="Times New Roman"/>
        </w:rPr>
      </w:pPr>
    </w:p>
    <w:p w:rsidR="00185642" w:rsidRPr="00185642" w:rsidRDefault="00185642" w:rsidP="00185642">
      <w:pPr>
        <w:pStyle w:val="Zkladntext"/>
        <w:jc w:val="both"/>
      </w:pPr>
    </w:p>
    <w:p w:rsidR="00185642" w:rsidRDefault="00185642" w:rsidP="00185642">
      <w:pPr>
        <w:pStyle w:val="Nadpis"/>
        <w:spacing w:before="0" w:after="0"/>
        <w:jc w:val="both"/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</w:pPr>
      <w:r w:rsidRPr="00185642"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lastRenderedPageBreak/>
        <w:t>Minimální technické parametry</w:t>
      </w:r>
      <w:r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t xml:space="preserve"> </w:t>
      </w:r>
      <w:r>
        <w:rPr>
          <w:rFonts w:ascii="Garamond" w:eastAsia="Times New Roman" w:hAnsi="Garamond" w:cs="Calibri"/>
          <w:b/>
          <w:kern w:val="0"/>
          <w:sz w:val="24"/>
          <w:szCs w:val="24"/>
          <w:lang w:eastAsia="en-US" w:bidi="ar-SA"/>
        </w:rPr>
        <w:t>antidekubitního systému: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 xml:space="preserve">Plně integrovaný dynamický aktivní antidekubitní systém do IV. st. </w:t>
      </w:r>
      <w:r>
        <w:rPr>
          <w:rFonts w:ascii="Garamond" w:hAnsi="Garamond"/>
          <w:sz w:val="22"/>
        </w:rPr>
        <w:t>v</w:t>
      </w:r>
      <w:r w:rsidRPr="00185642">
        <w:rPr>
          <w:rFonts w:ascii="Garamond" w:hAnsi="Garamond"/>
          <w:sz w:val="22"/>
        </w:rPr>
        <w:t>četně</w:t>
      </w:r>
      <w:r>
        <w:rPr>
          <w:rFonts w:ascii="Garamond" w:hAnsi="Garamond"/>
          <w:sz w:val="22"/>
        </w:rPr>
        <w:t xml:space="preserve"> </w:t>
      </w:r>
      <w:r w:rsidRPr="00185642">
        <w:rPr>
          <w:rFonts w:ascii="Garamond" w:hAnsi="Garamond"/>
          <w:sz w:val="22"/>
        </w:rPr>
        <w:t>(tj. bez externího kompresoru, hadic a kabelů, ovladatelný z centrálního panelu lůžka)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nosnost minimálně 200kg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systém s možností nastavení tlaku dle váhy pacienta, s automatickým přizpůsobením tlaku při změnách polohy pacienta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funkce automatického rychlého vypuštění matrace při KPR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podpora při sedu (vertikalizace pacienta), např.</w:t>
      </w:r>
      <w:r>
        <w:rPr>
          <w:rFonts w:ascii="Garamond" w:hAnsi="Garamond"/>
          <w:sz w:val="22"/>
        </w:rPr>
        <w:t xml:space="preserve"> </w:t>
      </w:r>
      <w:bookmarkStart w:id="0" w:name="_GoBack"/>
      <w:bookmarkEnd w:id="0"/>
      <w:r w:rsidRPr="00185642">
        <w:rPr>
          <w:rFonts w:ascii="Garamond" w:hAnsi="Garamond"/>
          <w:sz w:val="22"/>
        </w:rPr>
        <w:t>systém „eat inflate mode"</w:t>
      </w:r>
    </w:p>
    <w:p w:rsidR="00185642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>alarm nízkého tlaku</w:t>
      </w:r>
    </w:p>
    <w:p w:rsidR="00CA0E0F" w:rsidRPr="00185642" w:rsidRDefault="00185642" w:rsidP="00185642">
      <w:pPr>
        <w:pStyle w:val="Nadpis"/>
        <w:keepNext w:val="0"/>
        <w:numPr>
          <w:ilvl w:val="0"/>
          <w:numId w:val="1"/>
        </w:numPr>
        <w:tabs>
          <w:tab w:val="left" w:pos="851"/>
        </w:tabs>
        <w:spacing w:before="0" w:after="0"/>
        <w:ind w:left="284" w:hanging="284"/>
        <w:jc w:val="both"/>
        <w:rPr>
          <w:rFonts w:ascii="Garamond" w:hAnsi="Garamond"/>
          <w:sz w:val="22"/>
        </w:rPr>
      </w:pPr>
      <w:r w:rsidRPr="00185642">
        <w:rPr>
          <w:rFonts w:ascii="Garamond" w:hAnsi="Garamond"/>
          <w:sz w:val="22"/>
        </w:rPr>
        <w:t xml:space="preserve">potah voděodolný, paropropustný, dezinfikovatelný běžnými prostředky, snadno snímatelný  </w:t>
      </w:r>
    </w:p>
    <w:sectPr w:rsidR="00CA0E0F" w:rsidRPr="0018564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6F" w:rsidRDefault="005E2F6F">
      <w:r>
        <w:separator/>
      </w:r>
    </w:p>
  </w:endnote>
  <w:endnote w:type="continuationSeparator" w:id="0">
    <w:p w:rsidR="005E2F6F" w:rsidRDefault="005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0F" w:rsidRDefault="00CA0E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0E0F" w:rsidRDefault="00CA0E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0F" w:rsidRDefault="00CA0E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5642">
      <w:rPr>
        <w:rStyle w:val="slostrnky"/>
        <w:noProof/>
      </w:rPr>
      <w:t>2</w:t>
    </w:r>
    <w:r>
      <w:rPr>
        <w:rStyle w:val="slostrnky"/>
      </w:rPr>
      <w:fldChar w:fldCharType="end"/>
    </w:r>
  </w:p>
  <w:p w:rsidR="00CA0E0F" w:rsidRDefault="00CA0E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6F" w:rsidRDefault="005E2F6F">
      <w:r>
        <w:separator/>
      </w:r>
    </w:p>
  </w:footnote>
  <w:footnote w:type="continuationSeparator" w:id="0">
    <w:p w:rsidR="005E2F6F" w:rsidRDefault="005E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3C" w:rsidRPr="00185642" w:rsidRDefault="00185642" w:rsidP="00185642">
    <w:pPr>
      <w:pStyle w:val="Zhlav"/>
    </w:pPr>
    <w:r w:rsidRPr="00EB5B9C">
      <w:rPr>
        <w:rFonts w:ascii="Garamond" w:hAnsi="Garamond"/>
        <w:b/>
      </w:rPr>
      <w:t xml:space="preserve">„Dodávka 2 ks </w:t>
    </w:r>
    <w:r>
      <w:rPr>
        <w:rFonts w:ascii="Garamond" w:hAnsi="Garamond"/>
        <w:b/>
      </w:rPr>
      <w:t xml:space="preserve">lůžek pro intenzivní péči na oddělení ARO </w:t>
    </w:r>
    <w:r w:rsidRPr="00EB5B9C">
      <w:rPr>
        <w:rFonts w:ascii="Garamond" w:hAnsi="Garamond"/>
        <w:b/>
      </w:rPr>
      <w:t>Nemocnic</w:t>
    </w:r>
    <w:r>
      <w:rPr>
        <w:rFonts w:ascii="Garamond" w:hAnsi="Garamond"/>
        <w:b/>
      </w:rPr>
      <w:t xml:space="preserve">e </w:t>
    </w:r>
    <w:r w:rsidRPr="00EB5B9C">
      <w:rPr>
        <w:rFonts w:ascii="Garamond" w:hAnsi="Garamond"/>
        <w:b/>
      </w:rPr>
      <w:t>Český Krumlov, a.s. 2017“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71AF"/>
    <w:multiLevelType w:val="hybridMultilevel"/>
    <w:tmpl w:val="07EC53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B3"/>
    <w:rsid w:val="000E763C"/>
    <w:rsid w:val="000F0499"/>
    <w:rsid w:val="00110432"/>
    <w:rsid w:val="00181150"/>
    <w:rsid w:val="00185642"/>
    <w:rsid w:val="00194016"/>
    <w:rsid w:val="001D5863"/>
    <w:rsid w:val="002F72CF"/>
    <w:rsid w:val="003E3221"/>
    <w:rsid w:val="00473FF7"/>
    <w:rsid w:val="004E6AAD"/>
    <w:rsid w:val="00573669"/>
    <w:rsid w:val="005E2F6F"/>
    <w:rsid w:val="005E7293"/>
    <w:rsid w:val="00661DB3"/>
    <w:rsid w:val="006C6868"/>
    <w:rsid w:val="0078113C"/>
    <w:rsid w:val="007A2FB0"/>
    <w:rsid w:val="008D138F"/>
    <w:rsid w:val="00A2180A"/>
    <w:rsid w:val="00AC5668"/>
    <w:rsid w:val="00CA0E0F"/>
    <w:rsid w:val="00D256A1"/>
    <w:rsid w:val="00E44E8C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C3D3-68E4-4AD2-B904-9C89B90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ocked/>
    <w:rPr>
      <w:rFonts w:ascii="Calibri" w:hAnsi="Calibri" w:cs="Calibri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59"/>
    <w:rsid w:val="0066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1">
    <w:name w:val="Záhlaví Char1"/>
    <w:link w:val="Zhlav"/>
    <w:locked/>
    <w:rsid w:val="000E763C"/>
    <w:rPr>
      <w:rFonts w:ascii="Calibri" w:hAnsi="Calibri" w:cs="Calibri"/>
      <w:sz w:val="22"/>
      <w:szCs w:val="22"/>
      <w:lang w:val="cs-CZ" w:eastAsia="en-US" w:bidi="ar-SA"/>
    </w:rPr>
  </w:style>
  <w:style w:type="paragraph" w:styleId="Textpoznpodarou">
    <w:name w:val="footnote text"/>
    <w:basedOn w:val="Normln"/>
    <w:semiHidden/>
    <w:rsid w:val="000E763C"/>
    <w:rPr>
      <w:sz w:val="20"/>
      <w:szCs w:val="20"/>
    </w:rPr>
  </w:style>
  <w:style w:type="character" w:styleId="Znakapoznpodarou">
    <w:name w:val="footnote reference"/>
    <w:semiHidden/>
    <w:rsid w:val="000E763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3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138F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basedOn w:val="Normln"/>
    <w:next w:val="Zkladntext"/>
    <w:rsid w:val="0018564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semiHidden/>
    <w:rsid w:val="00185642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185642"/>
    <w:rPr>
      <w:rFonts w:eastAsia="Lucida Sans Unicode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8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Český Krumlov, a.s.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gottwaldovaz</dc:creator>
  <cp:keywords/>
  <cp:lastModifiedBy>Mgr. Vojtěch Remeň</cp:lastModifiedBy>
  <cp:revision>2</cp:revision>
  <cp:lastPrinted>2016-04-06T07:35:00Z</cp:lastPrinted>
  <dcterms:created xsi:type="dcterms:W3CDTF">2017-05-26T08:10:00Z</dcterms:created>
  <dcterms:modified xsi:type="dcterms:W3CDTF">2017-05-26T08:10:00Z</dcterms:modified>
</cp:coreProperties>
</file>