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CE" w:rsidRDefault="00A03F9A" w:rsidP="008510CE">
      <w:pPr>
        <w:pStyle w:val="Zhlav"/>
        <w:jc w:val="left"/>
        <w:rPr>
          <w:color w:val="1F497D"/>
          <w:sz w:val="16"/>
          <w:szCs w:val="18"/>
        </w:rPr>
      </w:pPr>
      <w:r w:rsidRPr="00927E60">
        <w:rPr>
          <w:color w:val="002060"/>
          <w:sz w:val="18"/>
          <w:szCs w:val="18"/>
          <w:lang w:val="en-US"/>
        </w:rPr>
        <w:t xml:space="preserve"> </w:t>
      </w:r>
    </w:p>
    <w:p w:rsidR="008510CE" w:rsidRDefault="008510CE" w:rsidP="008510CE">
      <w:pPr>
        <w:pStyle w:val="Nzev"/>
        <w:spacing w:before="0" w:after="0"/>
      </w:pPr>
    </w:p>
    <w:p w:rsidR="008510CE" w:rsidRDefault="00A03F9A" w:rsidP="008510CE">
      <w:pPr>
        <w:pStyle w:val="Nzev"/>
        <w:spacing w:before="0" w:after="0"/>
      </w:pPr>
      <w:r w:rsidRPr="00B679F6">
        <w:t>Zadávací dokumentace</w:t>
      </w:r>
    </w:p>
    <w:p w:rsidR="008510CE" w:rsidRPr="006E7E05" w:rsidRDefault="00A03F9A" w:rsidP="008510CE">
      <w:pPr>
        <w:pStyle w:val="Nadpis1"/>
      </w:pPr>
      <w:bookmarkStart w:id="0" w:name="_Toc350412537"/>
      <w:r w:rsidRPr="006E7E05">
        <w:t>1.</w:t>
      </w:r>
      <w:r w:rsidRPr="006E7E05">
        <w:tab/>
        <w:t>zadavatel</w:t>
      </w:r>
      <w:bookmarkEnd w:id="0"/>
    </w:p>
    <w:p w:rsidR="008510CE" w:rsidRPr="006E7E05" w:rsidRDefault="00A03F9A" w:rsidP="008510CE">
      <w:pPr>
        <w:pStyle w:val="Nadpis2"/>
      </w:pPr>
      <w:bookmarkStart w:id="1" w:name="_Toc350412538"/>
      <w:r w:rsidRPr="006E7E05">
        <w:t>1.1.</w:t>
      </w:r>
      <w:r w:rsidRPr="006E7E05">
        <w:tab/>
        <w:t>Informace o zadavateli</w:t>
      </w:r>
      <w:bookmarkEnd w:id="1"/>
    </w:p>
    <w:p w:rsidR="008510CE" w:rsidRPr="00351810" w:rsidRDefault="00A03F9A" w:rsidP="00175DA9">
      <w:pPr>
        <w:ind w:left="1418" w:hanging="1418"/>
        <w:jc w:val="left"/>
      </w:pPr>
      <w:r w:rsidRPr="00E45B79">
        <w:rPr>
          <w:lang w:val="en-US"/>
        </w:rPr>
        <w:t>Ministerstvo obrany</w:t>
      </w:r>
      <w:r>
        <w:br/>
      </w:r>
      <w:r w:rsidRPr="00E45B79">
        <w:rPr>
          <w:lang w:val="en-US"/>
        </w:rPr>
        <w:t>Tychonova</w:t>
      </w:r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  <w:r>
        <w:br/>
      </w:r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Hradčany</w:t>
      </w:r>
      <w:r>
        <w:br/>
      </w:r>
      <w:r w:rsidRPr="00E45B79">
        <w:t xml:space="preserve">IČO: </w:t>
      </w:r>
      <w:r w:rsidRPr="00E45B79">
        <w:rPr>
          <w:lang w:val="en-US"/>
        </w:rPr>
        <w:t>60162694</w:t>
      </w:r>
      <w:r w:rsidRPr="00E45B79">
        <w:br/>
      </w:r>
    </w:p>
    <w:p w:rsidR="008510CE" w:rsidRPr="00351810" w:rsidRDefault="008510CE" w:rsidP="008510CE">
      <w:pPr>
        <w:jc w:val="left"/>
      </w:pPr>
    </w:p>
    <w:p w:rsidR="008510CE" w:rsidRPr="00351810" w:rsidRDefault="008510CE" w:rsidP="008510CE">
      <w:pPr>
        <w:jc w:val="left"/>
      </w:pPr>
    </w:p>
    <w:p w:rsidR="008510CE" w:rsidRDefault="00A03F9A" w:rsidP="008510CE">
      <w:pPr>
        <w:jc w:val="left"/>
      </w:pPr>
      <w:r w:rsidRPr="00351810">
        <w:t xml:space="preserve">Kontaktní osoba: </w:t>
      </w:r>
      <w:r w:rsidRPr="00351810">
        <w:rPr>
          <w:lang w:val="en-US"/>
        </w:rPr>
        <w:t>Eva</w:t>
      </w:r>
      <w:r w:rsidRPr="00351810">
        <w:t xml:space="preserve"> </w:t>
      </w:r>
      <w:r w:rsidRPr="00351810">
        <w:rPr>
          <w:lang w:val="en-US"/>
        </w:rPr>
        <w:t>Vávrová</w:t>
      </w:r>
      <w:r w:rsidRPr="00351810">
        <w:br/>
        <w:t xml:space="preserve">tel.: </w:t>
      </w:r>
      <w:r w:rsidRPr="00351810">
        <w:rPr>
          <w:lang w:val="en-US"/>
        </w:rPr>
        <w:t>+420 973450768</w:t>
      </w:r>
      <w:r w:rsidRPr="00351810">
        <w:br/>
        <w:t xml:space="preserve">email: </w:t>
      </w:r>
      <w:r w:rsidRPr="00351810">
        <w:rPr>
          <w:lang w:val="en-US"/>
        </w:rPr>
        <w:t>vavrovae@army.cz</w:t>
      </w:r>
      <w:r w:rsidRPr="00351810">
        <w:br/>
      </w:r>
    </w:p>
    <w:p w:rsidR="008510CE" w:rsidRPr="005A68A8" w:rsidRDefault="00A03F9A" w:rsidP="008510CE">
      <w:pPr>
        <w:keepNext/>
        <w:spacing w:before="480" w:after="360"/>
        <w:outlineLvl w:val="0"/>
        <w:rPr>
          <w:b/>
          <w:bCs/>
          <w:caps/>
          <w:kern w:val="32"/>
          <w:szCs w:val="32"/>
        </w:rPr>
      </w:pPr>
      <w:bookmarkStart w:id="2" w:name="_Toc350412541"/>
      <w:r w:rsidRPr="005A68A8">
        <w:rPr>
          <w:b/>
          <w:bCs/>
          <w:caps/>
          <w:kern w:val="32"/>
          <w:szCs w:val="32"/>
        </w:rPr>
        <w:t>2.</w:t>
      </w:r>
      <w:r w:rsidRPr="00386D0F">
        <w:rPr>
          <w:rStyle w:val="Nadpis1Char"/>
        </w:rPr>
        <w:tab/>
        <w:t>Informace o veřejné zakázce</w:t>
      </w:r>
      <w:r w:rsidRPr="005A68A8">
        <w:rPr>
          <w:b/>
          <w:bCs/>
          <w:caps/>
          <w:kern w:val="32"/>
          <w:szCs w:val="32"/>
        </w:rPr>
        <w:t xml:space="preserve"> </w:t>
      </w:r>
    </w:p>
    <w:p w:rsidR="008510CE" w:rsidRPr="00DB162F" w:rsidRDefault="00A03F9A" w:rsidP="008510CE">
      <w:pPr>
        <w:pStyle w:val="Nadpis2"/>
      </w:pPr>
      <w:r w:rsidRPr="00DB162F">
        <w:t>2.1.</w:t>
      </w:r>
      <w:r w:rsidRPr="00DB162F">
        <w:tab/>
      </w:r>
      <w:r w:rsidRPr="00DB162F">
        <w:t>Název veřejné zakázky, druh a typ veřejné zakázky a zadávacího řízení</w:t>
      </w:r>
      <w:bookmarkEnd w:id="2"/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6249D8" w:rsidTr="008510CE">
        <w:trPr>
          <w:cantSplit/>
        </w:trPr>
        <w:tc>
          <w:tcPr>
            <w:tcW w:w="4106" w:type="dxa"/>
          </w:tcPr>
          <w:p w:rsidR="008510CE" w:rsidRPr="005A68A8" w:rsidRDefault="00A03F9A" w:rsidP="008510CE">
            <w:pPr>
              <w:jc w:val="left"/>
            </w:pPr>
            <w:r w:rsidRPr="005A68A8">
              <w:t>Název veřejné zakázky:</w:t>
            </w:r>
          </w:p>
        </w:tc>
        <w:tc>
          <w:tcPr>
            <w:tcW w:w="4954" w:type="dxa"/>
          </w:tcPr>
          <w:p w:rsidR="008510CE" w:rsidRPr="005A68A8" w:rsidRDefault="00A03F9A" w:rsidP="008510CE">
            <w:pPr>
              <w:jc w:val="left"/>
            </w:pPr>
            <w:r w:rsidRPr="005A68A8">
              <w:t>Autopříslušenství</w:t>
            </w:r>
          </w:p>
        </w:tc>
      </w:tr>
      <w:tr w:rsidR="006249D8" w:rsidTr="008510CE">
        <w:trPr>
          <w:cantSplit/>
        </w:trPr>
        <w:tc>
          <w:tcPr>
            <w:tcW w:w="4106" w:type="dxa"/>
          </w:tcPr>
          <w:p w:rsidR="008510CE" w:rsidRPr="005A68A8" w:rsidRDefault="00A03F9A" w:rsidP="008510CE">
            <w:pPr>
              <w:jc w:val="left"/>
            </w:pPr>
            <w:r w:rsidRPr="005A68A8">
              <w:t>Druh veřejné zakázky:</w:t>
            </w:r>
          </w:p>
        </w:tc>
        <w:tc>
          <w:tcPr>
            <w:tcW w:w="4954" w:type="dxa"/>
          </w:tcPr>
          <w:p w:rsidR="008510CE" w:rsidRPr="005A68A8" w:rsidRDefault="00A03F9A" w:rsidP="008510CE">
            <w:pPr>
              <w:jc w:val="left"/>
            </w:pPr>
            <w:r w:rsidRPr="005A68A8">
              <w:t>Veřejná zakázka na dodávky</w:t>
            </w:r>
          </w:p>
        </w:tc>
      </w:tr>
      <w:tr w:rsidR="006249D8" w:rsidTr="008510CE">
        <w:trPr>
          <w:cantSplit/>
        </w:trPr>
        <w:tc>
          <w:tcPr>
            <w:tcW w:w="4106" w:type="dxa"/>
          </w:tcPr>
          <w:p w:rsidR="008510CE" w:rsidRPr="005A68A8" w:rsidRDefault="00A03F9A" w:rsidP="008510CE">
            <w:pPr>
              <w:jc w:val="left"/>
            </w:pPr>
            <w:r w:rsidRPr="005A68A8">
              <w:t>Systémové číslo veřejné zakázky:</w:t>
            </w:r>
          </w:p>
        </w:tc>
        <w:tc>
          <w:tcPr>
            <w:tcW w:w="4954" w:type="dxa"/>
          </w:tcPr>
          <w:p w:rsidR="008510CE" w:rsidRPr="005A68A8" w:rsidRDefault="00A03F9A" w:rsidP="008510CE">
            <w:pPr>
              <w:jc w:val="left"/>
            </w:pPr>
            <w:r w:rsidRPr="005A68A8">
              <w:t>N006/20/V00005434</w:t>
            </w:r>
          </w:p>
        </w:tc>
      </w:tr>
      <w:tr w:rsidR="006249D8" w:rsidTr="008510CE">
        <w:trPr>
          <w:cantSplit/>
        </w:trPr>
        <w:tc>
          <w:tcPr>
            <w:tcW w:w="4111" w:type="dxa"/>
          </w:tcPr>
          <w:p w:rsidR="008510CE" w:rsidRPr="005A68A8" w:rsidRDefault="00A03F9A" w:rsidP="008510CE">
            <w:pPr>
              <w:jc w:val="left"/>
            </w:pPr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RDefault="00A03F9A" w:rsidP="008510CE">
            <w:pPr>
              <w:jc w:val="left"/>
              <w:rPr>
                <w:bCs/>
              </w:rPr>
            </w:pPr>
            <w:r w:rsidRPr="005A68A8">
              <w:rPr>
                <w:bCs/>
              </w:rPr>
              <w:t xml:space="preserve">Veřejná zakázka </w:t>
            </w:r>
            <w:r w:rsidRPr="005A68A8">
              <w:rPr>
                <w:bCs/>
              </w:rPr>
              <w:t>malého rozsahu</w:t>
            </w:r>
          </w:p>
        </w:tc>
      </w:tr>
      <w:tr w:rsidR="006249D8" w:rsidTr="008510CE">
        <w:trPr>
          <w:cantSplit/>
        </w:trPr>
        <w:tc>
          <w:tcPr>
            <w:tcW w:w="4111" w:type="dxa"/>
          </w:tcPr>
          <w:p w:rsidR="008510CE" w:rsidRPr="005A68A8" w:rsidRDefault="00A03F9A" w:rsidP="008510CE">
            <w:pPr>
              <w:jc w:val="left"/>
              <w:rPr>
                <w:bCs/>
              </w:rPr>
            </w:pPr>
            <w:r w:rsidRPr="005A68A8">
              <w:t>Druh zadávacího řízení:</w:t>
            </w:r>
          </w:p>
        </w:tc>
        <w:tc>
          <w:tcPr>
            <w:tcW w:w="4949" w:type="dxa"/>
          </w:tcPr>
          <w:p w:rsidR="008510CE" w:rsidRPr="005A68A8" w:rsidRDefault="00A03F9A" w:rsidP="008510CE">
            <w:pPr>
              <w:jc w:val="left"/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5A68A8" w:rsidRDefault="008510CE" w:rsidP="008510CE">
      <w:pPr>
        <w:jc w:val="left"/>
        <w:rPr>
          <w:bCs/>
        </w:rPr>
      </w:pPr>
    </w:p>
    <w:p w:rsidR="008510CE" w:rsidRPr="0096282C" w:rsidRDefault="008510CE" w:rsidP="008510CE">
      <w:pPr>
        <w:jc w:val="left"/>
      </w:pPr>
    </w:p>
    <w:p w:rsidR="008510CE" w:rsidRPr="0096282C" w:rsidRDefault="00A03F9A" w:rsidP="008510CE">
      <w:pPr>
        <w:jc w:val="left"/>
      </w:pPr>
      <w:r w:rsidRPr="0096282C">
        <w:t>Výsledkem zadávacího řízení bude uzavření smlouvy.</w:t>
      </w:r>
    </w:p>
    <w:p w:rsidR="008510CE" w:rsidRDefault="008510CE" w:rsidP="008510CE">
      <w:pPr>
        <w:jc w:val="left"/>
      </w:pPr>
    </w:p>
    <w:p w:rsidR="008510CE" w:rsidRDefault="008510CE" w:rsidP="008510CE">
      <w:pPr>
        <w:jc w:val="left"/>
      </w:pPr>
    </w:p>
    <w:p w:rsidR="008510CE" w:rsidRPr="00F4692D" w:rsidRDefault="00A03F9A" w:rsidP="008510CE">
      <w:pPr>
        <w:keepNext/>
        <w:tabs>
          <w:tab w:val="left" w:pos="993"/>
        </w:tabs>
        <w:spacing w:before="360" w:after="24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bookmarkStart w:id="3" w:name="_Toc350412542"/>
      <w:r w:rsidRPr="00F4692D">
        <w:rPr>
          <w:rFonts w:cs="Arial"/>
          <w:b/>
          <w:bCs/>
          <w:iCs/>
          <w:szCs w:val="28"/>
        </w:rPr>
        <w:t>2.2.</w:t>
      </w:r>
      <w:r w:rsidRPr="00F4692D">
        <w:rPr>
          <w:rFonts w:cs="Arial"/>
          <w:b/>
          <w:bCs/>
          <w:iCs/>
          <w:szCs w:val="28"/>
        </w:rPr>
        <w:tab/>
        <w:t>Předmět veřejné zakázky</w:t>
      </w:r>
      <w:bookmarkEnd w:id="3"/>
    </w:p>
    <w:p w:rsidR="00E17873" w:rsidRPr="00AB097D" w:rsidRDefault="00A03F9A" w:rsidP="00FA1ECB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RDefault="00E17873" w:rsidP="00C02E30">
      <w:pPr>
        <w:keepNext/>
        <w:ind w:left="284"/>
        <w:jc w:val="left"/>
        <w:rPr>
          <w:bCs/>
          <w:color w:val="000000" w:themeColor="text1"/>
        </w:rPr>
      </w:pPr>
    </w:p>
    <w:p w:rsidR="00E17873" w:rsidRPr="00AB097D" w:rsidRDefault="00A03F9A" w:rsidP="00C02E30">
      <w:pPr>
        <w:ind w:left="284"/>
        <w:jc w:val="left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 xml:space="preserve">Jedná se o materiál k údržbě automobilní techniky blíže specifikovaný Návrhem Kupní </w:t>
      </w:r>
      <w:r w:rsidRPr="00AB097D">
        <w:rPr>
          <w:color w:val="000000" w:themeColor="text1"/>
        </w:rPr>
        <w:t>smlouvy 1572/66/2020-1970 a minimálními technickými požadavky zadavatele.</w:t>
      </w:r>
    </w:p>
    <w:p w:rsidR="00E17873" w:rsidRPr="00AB097D" w:rsidRDefault="00E17873" w:rsidP="00C02E30">
      <w:pPr>
        <w:ind w:left="284"/>
        <w:jc w:val="left"/>
        <w:rPr>
          <w:bCs/>
          <w:color w:val="000000" w:themeColor="text1"/>
          <w:highlight w:val="lightGray"/>
        </w:rPr>
      </w:pPr>
    </w:p>
    <w:p w:rsidR="00E17873" w:rsidRPr="00AB097D" w:rsidRDefault="00A03F9A" w:rsidP="00C74358">
      <w:pPr>
        <w:keepNext/>
        <w:keepLines/>
        <w:jc w:val="left"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lastRenderedPageBreak/>
        <w:t>Položky předmětu:</w:t>
      </w:r>
    </w:p>
    <w:p w:rsidR="00E17873" w:rsidRPr="00AB097D" w:rsidRDefault="00E17873" w:rsidP="00C74358">
      <w:pPr>
        <w:keepNext/>
        <w:keepLines/>
        <w:jc w:val="left"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798"/>
        <w:gridCol w:w="2179"/>
        <w:gridCol w:w="1818"/>
        <w:gridCol w:w="2191"/>
        <w:gridCol w:w="1818"/>
        <w:gridCol w:w="351"/>
      </w:tblGrid>
      <w:tr w:rsidR="006249D8" w:rsidTr="00EE7A89"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RDefault="00A03F9A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RDefault="00A03F9A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RDefault="00A03F9A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RDefault="00A03F9A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RDefault="00A03F9A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6249D8" w:rsidTr="00EE7A89"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RDefault="00A03F9A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Nástroje a nářadí</w:t>
            </w:r>
          </w:p>
        </w:tc>
        <w:tc>
          <w:tcPr>
            <w:tcW w:w="718" w:type="pct"/>
            <w:vAlign w:val="center"/>
          </w:tcPr>
          <w:p w:rsidR="00145662" w:rsidRPr="00AB097D" w:rsidRDefault="00A03F9A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44510000-8</w:t>
            </w:r>
          </w:p>
        </w:tc>
        <w:tc>
          <w:tcPr>
            <w:tcW w:w="599" w:type="pct"/>
            <w:vAlign w:val="center"/>
          </w:tcPr>
          <w:p w:rsidR="00145662" w:rsidRPr="00AB097D" w:rsidRDefault="00A03F9A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Nástroje a nářadí</w:t>
            </w:r>
          </w:p>
        </w:tc>
        <w:tc>
          <w:tcPr>
            <w:tcW w:w="722" w:type="pct"/>
            <w:vAlign w:val="center"/>
          </w:tcPr>
          <w:p w:rsidR="00145662" w:rsidRPr="00AB097D" w:rsidRDefault="00A03F9A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44510000-8</w:t>
            </w:r>
          </w:p>
        </w:tc>
        <w:tc>
          <w:tcPr>
            <w:tcW w:w="599" w:type="pct"/>
            <w:vAlign w:val="center"/>
          </w:tcPr>
          <w:p w:rsidR="00145662" w:rsidRPr="00AB097D" w:rsidRDefault="00A03F9A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Nástroje a nářadí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RDefault="00E17873" w:rsidP="00C74358">
      <w:pPr>
        <w:keepNext/>
        <w:keepLines/>
        <w:jc w:val="left"/>
        <w:rPr>
          <w:b/>
          <w:bCs/>
          <w:color w:val="000000" w:themeColor="text1"/>
          <w:highlight w:val="lightGray"/>
        </w:rPr>
      </w:pPr>
    </w:p>
    <w:p w:rsidR="00C74358" w:rsidRPr="00AB097D" w:rsidRDefault="00C74358" w:rsidP="00C74358">
      <w:pPr>
        <w:jc w:val="left"/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RDefault="00A03F9A" w:rsidP="00E17873">
      <w:pPr>
        <w:keepNext/>
        <w:jc w:val="left"/>
        <w:rPr>
          <w:b/>
          <w:bCs/>
        </w:rPr>
      </w:pPr>
      <w:r w:rsidRPr="003E3C10">
        <w:rPr>
          <w:b/>
          <w:bCs/>
        </w:rPr>
        <w:t>Bližší specifikace</w:t>
      </w:r>
      <w:r w:rsidRPr="003E3C10">
        <w:rPr>
          <w:b/>
          <w:bCs/>
        </w:rPr>
        <w:t xml:space="preserve"> předmětu VZ:</w:t>
      </w:r>
    </w:p>
    <w:p w:rsidR="00B42812" w:rsidRPr="002E5A57" w:rsidRDefault="00B42812" w:rsidP="00AB097D">
      <w:pPr>
        <w:ind w:left="284"/>
        <w:jc w:val="left"/>
      </w:pPr>
    </w:p>
    <w:p w:rsidR="00E17873" w:rsidRPr="002E5A57" w:rsidRDefault="00A03F9A" w:rsidP="00AB097D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Nástroje a nářadí</w:t>
      </w:r>
    </w:p>
    <w:p w:rsidR="008510CE" w:rsidRPr="00F4692D" w:rsidRDefault="00A03F9A" w:rsidP="008510CE">
      <w:pPr>
        <w:keepNext/>
        <w:tabs>
          <w:tab w:val="left" w:pos="993"/>
        </w:tabs>
        <w:spacing w:before="360" w:after="24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bookmarkStart w:id="4" w:name="_Toc350412543"/>
      <w:r w:rsidRPr="00F4692D">
        <w:rPr>
          <w:rFonts w:cs="Arial"/>
          <w:b/>
          <w:bCs/>
          <w:iCs/>
          <w:szCs w:val="28"/>
        </w:rPr>
        <w:t>2.3.</w:t>
      </w:r>
      <w:r w:rsidRPr="00F4692D">
        <w:rPr>
          <w:rFonts w:cs="Arial"/>
          <w:b/>
          <w:bCs/>
          <w:iCs/>
          <w:szCs w:val="28"/>
        </w:rPr>
        <w:tab/>
        <w:t>Doba a místo</w:t>
      </w:r>
      <w:r>
        <w:rPr>
          <w:rFonts w:cs="Arial"/>
          <w:b/>
          <w:bCs/>
          <w:iCs/>
          <w:szCs w:val="28"/>
        </w:rPr>
        <w:t xml:space="preserve"> </w:t>
      </w:r>
      <w:r w:rsidRPr="00F4692D">
        <w:rPr>
          <w:rFonts w:cs="Arial"/>
          <w:b/>
          <w:bCs/>
          <w:iCs/>
          <w:szCs w:val="28"/>
        </w:rPr>
        <w:t>plnění veřejné zakázky</w:t>
      </w:r>
      <w:bookmarkEnd w:id="4"/>
    </w:p>
    <w:p w:rsidR="008510CE" w:rsidRPr="00F4692D" w:rsidRDefault="00A03F9A" w:rsidP="008510CE">
      <w:pPr>
        <w:contextualSpacing/>
        <w:jc w:val="left"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F4692D">
        <w:t xml:space="preserve">do 30.4.2020 </w:t>
      </w:r>
    </w:p>
    <w:p w:rsidR="008510CE" w:rsidRDefault="008510CE" w:rsidP="008510CE">
      <w:pPr>
        <w:jc w:val="left"/>
      </w:pPr>
    </w:p>
    <w:p w:rsidR="008510CE" w:rsidRDefault="00A03F9A" w:rsidP="008510CE">
      <w:pPr>
        <w:contextualSpacing/>
        <w:jc w:val="left"/>
      </w:pPr>
      <w:r w:rsidRPr="00F4692D">
        <w:t>Místo plnění veřejné zakázky: Vojenský útvar 1970, Víta Nejedlého, kasárna Dědice, Vyškov</w:t>
      </w:r>
    </w:p>
    <w:p w:rsidR="008510CE" w:rsidRPr="00F4692D" w:rsidRDefault="008510CE" w:rsidP="008510CE">
      <w:pPr>
        <w:contextualSpacing/>
        <w:jc w:val="left"/>
      </w:pPr>
    </w:p>
    <w:p w:rsidR="008510CE" w:rsidRPr="00F4692D" w:rsidRDefault="008510CE" w:rsidP="008510CE">
      <w:pPr>
        <w:jc w:val="left"/>
        <w:rPr>
          <w:color w:val="E36C0A"/>
          <w:sz w:val="2"/>
          <w:u w:val="single"/>
        </w:rPr>
      </w:pPr>
    </w:p>
    <w:p w:rsidR="008510CE" w:rsidRDefault="00A03F9A" w:rsidP="008510CE">
      <w:pPr>
        <w:pStyle w:val="Nadpis1"/>
      </w:pPr>
      <w:bookmarkStart w:id="5" w:name="_Toc350412557"/>
      <w:r w:rsidRPr="00AA431B">
        <w:t>3.</w:t>
      </w:r>
      <w:r w:rsidRPr="00AA431B">
        <w:tab/>
      </w:r>
      <w:r w:rsidRPr="00C160F8">
        <w:t>Kvalifika</w:t>
      </w:r>
      <w:r>
        <w:t>ce</w:t>
      </w:r>
      <w:bookmarkEnd w:id="5"/>
    </w:p>
    <w:p w:rsidR="00354036" w:rsidRDefault="003D6EBB" w:rsidP="00BB3992">
      <w:pPr>
        <w:rPr>
          <w:bCs/>
        </w:rPr>
      </w:pPr>
      <w:r>
        <w:rPr>
          <w:bCs/>
        </w:rPr>
        <w:t xml:space="preserve"> </w:t>
      </w:r>
    </w:p>
    <w:p w:rsidR="00181347" w:rsidRDefault="00A03F9A" w:rsidP="00EE0C4B">
      <w:pPr>
        <w:pStyle w:val="Nadpis2"/>
        <w:tabs>
          <w:tab w:val="left" w:pos="993"/>
        </w:tabs>
        <w:spacing w:before="0" w:after="0"/>
        <w:ind w:left="408" w:hanging="408"/>
        <w:rPr>
          <w:rFonts w:cs="Times New Roman"/>
          <w:szCs w:val="24"/>
        </w:rPr>
      </w:pPr>
      <w:r>
        <w:rPr>
          <w:rFonts w:cs="Times New Roman"/>
          <w:szCs w:val="24"/>
        </w:rPr>
        <w:t>3.1.</w:t>
      </w:r>
      <w:r>
        <w:rPr>
          <w:rFonts w:cs="Times New Roman"/>
          <w:szCs w:val="24"/>
        </w:rPr>
        <w:tab/>
      </w:r>
      <w:r w:rsidRPr="0075060D">
        <w:rPr>
          <w:rFonts w:cs="Times New Roman"/>
          <w:szCs w:val="24"/>
        </w:rPr>
        <w:t xml:space="preserve">Profesní </w:t>
      </w:r>
      <w:r>
        <w:rPr>
          <w:rFonts w:cs="Times New Roman"/>
          <w:szCs w:val="24"/>
        </w:rPr>
        <w:t xml:space="preserve">způsobilost </w:t>
      </w:r>
      <w:r w:rsidRPr="00CD710B">
        <w:rPr>
          <w:rFonts w:cs="Times New Roman"/>
          <w:szCs w:val="24"/>
        </w:rPr>
        <w:t xml:space="preserve">dle § </w:t>
      </w:r>
      <w:r>
        <w:rPr>
          <w:rFonts w:cs="Times New Roman"/>
          <w:szCs w:val="24"/>
        </w:rPr>
        <w:t>77</w:t>
      </w:r>
      <w:r w:rsidRPr="00CD710B">
        <w:rPr>
          <w:rFonts w:cs="Times New Roman"/>
          <w:szCs w:val="24"/>
        </w:rPr>
        <w:t xml:space="preserve"> </w:t>
      </w:r>
      <w:r w:rsidRPr="008531D5">
        <w:rPr>
          <w:rFonts w:cs="Times New Roman"/>
          <w:szCs w:val="24"/>
        </w:rPr>
        <w:t>ZZVZ</w:t>
      </w:r>
    </w:p>
    <w:p w:rsidR="00181347" w:rsidRDefault="00181347" w:rsidP="00EE0C4B">
      <w:pPr>
        <w:keepNext/>
        <w:autoSpaceDE w:val="0"/>
        <w:autoSpaceDN w:val="0"/>
        <w:adjustRightInd w:val="0"/>
        <w:jc w:val="left"/>
        <w:rPr>
          <w:b/>
        </w:rPr>
      </w:pPr>
    </w:p>
    <w:p w:rsidR="00181347" w:rsidRDefault="00A03F9A" w:rsidP="00EE0C4B">
      <w:pPr>
        <w:keepNext/>
        <w:autoSpaceDE w:val="0"/>
        <w:autoSpaceDN w:val="0"/>
        <w:adjustRightInd w:val="0"/>
        <w:jc w:val="left"/>
        <w:rPr>
          <w:b/>
        </w:rPr>
      </w:pPr>
      <w:r w:rsidRPr="00FF5112">
        <w:rPr>
          <w:b/>
        </w:rPr>
        <w:t xml:space="preserve">Profesní kvalifikační </w:t>
      </w:r>
      <w:r>
        <w:rPr>
          <w:b/>
        </w:rPr>
        <w:t>předpoklad</w:t>
      </w:r>
      <w:r w:rsidRPr="00B2275F">
        <w:rPr>
          <w:b/>
        </w:rPr>
        <w:t xml:space="preserve"> dle § 77 odst. 1 ZZVZ:</w:t>
      </w:r>
      <w:r>
        <w:rPr>
          <w:b/>
        </w:rPr>
        <w:t xml:space="preserve"> </w:t>
      </w:r>
      <w:r w:rsidRPr="0075060D">
        <w:t>Výpis z obchodního rejstříku nebo jiné obdobné evidence, pokud jiný právní předpis zápis do takové evidence vyžaduje.</w:t>
      </w:r>
      <w:r>
        <w:t xml:space="preserve"> </w:t>
      </w:r>
    </w:p>
    <w:p w:rsidR="00181347" w:rsidRDefault="00181347" w:rsidP="00EE0C4B">
      <w:pPr>
        <w:autoSpaceDE w:val="0"/>
        <w:autoSpaceDN w:val="0"/>
        <w:adjustRightInd w:val="0"/>
        <w:jc w:val="left"/>
        <w:rPr>
          <w:b/>
          <w:bCs/>
        </w:rPr>
      </w:pPr>
    </w:p>
    <w:p w:rsidR="00181347" w:rsidRPr="00653A03" w:rsidRDefault="00A03F9A" w:rsidP="00EE0C4B">
      <w:pPr>
        <w:keepNext/>
        <w:autoSpaceDE w:val="0"/>
        <w:autoSpaceDN w:val="0"/>
        <w:adjustRightInd w:val="0"/>
        <w:jc w:val="left"/>
        <w:rPr>
          <w:bCs/>
        </w:rPr>
      </w:pPr>
      <w:r w:rsidRPr="00653A03">
        <w:rPr>
          <w:bCs/>
        </w:rPr>
        <w:t>Způsob prokázání:</w:t>
      </w:r>
    </w:p>
    <w:p w:rsidR="00181347" w:rsidRDefault="00A03F9A" w:rsidP="00EE0C4B">
      <w:pPr>
        <w:jc w:val="left"/>
      </w:pPr>
      <w:r w:rsidRPr="0075060D">
        <w:rPr>
          <w:bCs/>
        </w:rPr>
        <w:t>Výpis z obchodního rejstříku nebo jiné obdobné evidence, pokud jiný právní předpis zápis do takové evidence vyžaduje.</w:t>
      </w:r>
    </w:p>
    <w:p w:rsidR="00067DED" w:rsidRPr="00067DED" w:rsidRDefault="00067DED" w:rsidP="00EE0C4B">
      <w:pPr>
        <w:jc w:val="left"/>
        <w:rPr>
          <w:sz w:val="12"/>
          <w:szCs w:val="12"/>
        </w:rPr>
      </w:pPr>
    </w:p>
    <w:p w:rsidR="002F4E48" w:rsidRPr="00620F75" w:rsidRDefault="00A03F9A" w:rsidP="00EE0C4B">
      <w:pPr>
        <w:jc w:val="left"/>
        <w:rPr>
          <w:sz w:val="6"/>
          <w:szCs w:val="18"/>
        </w:rPr>
      </w:pPr>
      <w:r w:rsidRPr="00620F75">
        <w:rPr>
          <w:sz w:val="6"/>
          <w:szCs w:val="18"/>
        </w:rPr>
        <w:t xml:space="preserve"> </w:t>
      </w:r>
    </w:p>
    <w:p w:rsidR="002F4E48" w:rsidRDefault="002F4E48" w:rsidP="00EE0C4B">
      <w:pPr>
        <w:jc w:val="left"/>
      </w:pPr>
    </w:p>
    <w:p w:rsidR="00067DED" w:rsidRPr="00B04FDC" w:rsidRDefault="00A03F9A" w:rsidP="00067DED">
      <w:pPr>
        <w:keepNext/>
        <w:jc w:val="left"/>
        <w:rPr>
          <w:b/>
          <w:bCs/>
        </w:rPr>
      </w:pPr>
      <w:r w:rsidRPr="00B04FDC">
        <w:rPr>
          <w:b/>
          <w:bCs/>
        </w:rPr>
        <w:lastRenderedPageBreak/>
        <w:t>Bližší pravidla pro společné prokazování nebo pro prokazování kvalifikace prostřednictvím jiných osob v souladu s § 84 ZZVZ:</w:t>
      </w:r>
    </w:p>
    <w:p w:rsidR="00067DED" w:rsidRPr="00AC441A" w:rsidRDefault="00A03F9A" w:rsidP="00067DED">
      <w:pPr>
        <w:jc w:val="left"/>
        <w:rPr>
          <w:bCs/>
        </w:rPr>
      </w:pPr>
      <w:r w:rsidRPr="00580781">
        <w:rPr>
          <w:b/>
          <w:bCs/>
          <w:i/>
        </w:rPr>
        <w:t>neuvedeno</w:t>
      </w:r>
    </w:p>
    <w:p w:rsidR="00897C00" w:rsidRDefault="00A03F9A" w:rsidP="00897C00">
      <w:pPr>
        <w:keepNext/>
        <w:tabs>
          <w:tab w:val="left" w:pos="993"/>
        </w:tabs>
        <w:spacing w:before="360" w:after="240"/>
        <w:ind w:left="408" w:hanging="408"/>
        <w:jc w:val="left"/>
        <w:outlineLvl w:val="1"/>
      </w:pPr>
      <w:r w:rsidRPr="004D7205">
        <w:rPr>
          <w:rFonts w:cs="Arial"/>
          <w:b/>
          <w:bCs/>
          <w:iCs/>
          <w:szCs w:val="28"/>
        </w:rPr>
        <w:t>3.2.</w:t>
      </w:r>
      <w:r w:rsidRPr="004D7205">
        <w:rPr>
          <w:rFonts w:cs="Arial"/>
          <w:b/>
          <w:bCs/>
          <w:iCs/>
          <w:szCs w:val="28"/>
        </w:rPr>
        <w:tab/>
      </w:r>
      <w:r w:rsidRPr="00EC2E7B">
        <w:rPr>
          <w:rFonts w:cs="Arial"/>
          <w:b/>
          <w:bCs/>
          <w:iCs/>
          <w:szCs w:val="28"/>
        </w:rPr>
        <w:t xml:space="preserve">Další </w:t>
      </w:r>
      <w:r w:rsidRPr="00EC2E7B">
        <w:rPr>
          <w:b/>
        </w:rPr>
        <w:t>požadavky na kvalifikaci</w:t>
      </w:r>
    </w:p>
    <w:p w:rsidR="00897C00" w:rsidRDefault="00A03F9A" w:rsidP="00166D8A">
      <w:pPr>
        <w:widowControl w:val="0"/>
        <w:jc w:val="left"/>
        <w:rPr>
          <w:bCs/>
        </w:rPr>
      </w:pPr>
      <w:r w:rsidRPr="004D7205">
        <w:t xml:space="preserve">Za účelem prokázání kvalifikace dodavatel přednostně předloží doklady evidované v systému, který identifikuje doklady k prokázání splnění kvalifikace (systém e-Certis). </w:t>
      </w:r>
      <w:r w:rsidRPr="004D7205">
        <w:br/>
        <w:t xml:space="preserve"> </w:t>
      </w:r>
      <w:r w:rsidRPr="004D7205">
        <w:br/>
        <w:t>Dodavatel může vždy nahradit požadované doklady</w:t>
      </w:r>
      <w:r w:rsidRPr="004D7205">
        <w:t xml:space="preserve"> jednotným evropským osvědčením pro veřejné zakázky. V případě že dodavatel již předložil zadavateli doklady osvědčující skutečnosti obsažené v jednotném evropském osvědčení pro veřejné zakázky, není povinen předkládat je opětovně. Tuto skutečnost dodavate</w:t>
      </w:r>
      <w:r w:rsidRPr="004D7205">
        <w:t xml:space="preserve">l sdělí zadavateli. </w:t>
      </w:r>
      <w:r w:rsidRPr="004D7205">
        <w:br/>
        <w:t xml:space="preserve"> </w:t>
      </w:r>
      <w:r w:rsidRPr="004D7205">
        <w:br/>
        <w:t>Dodavatel může prokázat základní způsobilost podle § 74 ZZVZ a profesní způsobilost podle § 77 ZZVZ v tom rozsahu, v jakém údaje ve výpisu ze seznamu kvalifikovaných dodavatelů prokazují splnění kritérií profesní způsobilosti, předlo</w:t>
      </w:r>
      <w:r w:rsidRPr="004D7205">
        <w:t xml:space="preserve">žením výpisu z SKD. </w:t>
      </w:r>
      <w:r w:rsidRPr="004D7205">
        <w:br/>
        <w:t xml:space="preserve"> </w:t>
      </w:r>
      <w:r w:rsidRPr="004D7205">
        <w:br/>
        <w:t xml:space="preserve">Certifikátem SCD může dodavatel prokázat kvalifikační předpoklady pouze v rozsahu uvedeném v certifikátu SCD. </w:t>
      </w:r>
      <w:r w:rsidRPr="004D7205">
        <w:br/>
        <w:t xml:space="preserve"> </w:t>
      </w:r>
      <w:r w:rsidRPr="004D7205">
        <w:br/>
        <w:t>Stejně jako výpisem z SKD nebo certifikátem SCD může dodavatel prokázat kvalifikaci osvědčením, které pochází z jiného č</w:t>
      </w:r>
      <w:r w:rsidRPr="004D7205">
        <w:t>lenského státu, v němž má dodavatel sídlo, a které je obdobou výpisu ze seznamu kvalifikovaných dodavatelů.</w:t>
      </w:r>
      <w:r>
        <w:t xml:space="preserve"> </w:t>
      </w:r>
    </w:p>
    <w:p w:rsidR="003570D1" w:rsidRPr="00DB7D02" w:rsidRDefault="00A03F9A" w:rsidP="003570D1">
      <w:pPr>
        <w:keepNext/>
        <w:numPr>
          <w:ilvl w:val="1"/>
          <w:numId w:val="0"/>
        </w:numPr>
        <w:tabs>
          <w:tab w:val="num" w:pos="510"/>
        </w:tabs>
        <w:spacing w:before="360" w:after="240"/>
        <w:ind w:left="406" w:hanging="406"/>
        <w:outlineLvl w:val="1"/>
        <w:rPr>
          <w:rFonts w:cs="Arial"/>
          <w:b/>
          <w:bCs/>
          <w:iCs/>
          <w:szCs w:val="28"/>
        </w:rPr>
      </w:pPr>
      <w:r w:rsidRPr="00DB7D02">
        <w:rPr>
          <w:rFonts w:cs="Arial"/>
          <w:b/>
          <w:bCs/>
          <w:iCs/>
          <w:szCs w:val="28"/>
        </w:rPr>
        <w:t>3.3.</w:t>
      </w:r>
      <w:r w:rsidRPr="00DB7D02">
        <w:rPr>
          <w:rFonts w:cs="Arial"/>
          <w:b/>
          <w:bCs/>
          <w:iCs/>
          <w:szCs w:val="28"/>
        </w:rPr>
        <w:tab/>
        <w:t>Pravost dokladů</w:t>
      </w:r>
    </w:p>
    <w:p w:rsidR="003570D1" w:rsidRDefault="00A03F9A" w:rsidP="00166D8A">
      <w:pPr>
        <w:jc w:val="left"/>
      </w:pPr>
      <w:r>
        <w:t xml:space="preserve">Dodavatel předkládá doklady o kvalifikaci v kopii. Zadavatel může postupem podle § 46 odst. 1 požadovat předložení originálu nebo ověřené kopie dokladu. </w:t>
      </w:r>
      <w:r>
        <w:br/>
        <w:t xml:space="preserve"> </w:t>
      </w:r>
      <w:r>
        <w:br/>
        <w:t>Pokud zadavatel vyžaduje předložení dokladu a dodavatel není z důvodů, které mu nelze přičítat, scho</w:t>
      </w:r>
      <w:r>
        <w:t xml:space="preserve">pen předložit požadovaný doklad, může dodavatel předložit jiný rovnocenný doklad. </w:t>
      </w:r>
      <w:r>
        <w:br/>
        <w:t xml:space="preserve"> </w:t>
      </w:r>
      <w:r>
        <w:br/>
        <w:t>Povinnost předložit doklad může dodavatel splnit odkazem na odpovídající informace uvedené v informačním systému veřejné správy nebo v obdobném systému vedeném v jiném čle</w:t>
      </w:r>
      <w:r>
        <w:t>nském státu Evropské unie, Evropského hospodářského prostoru nebo Švýcarské konfederaci, který umožňuje neomezený dálkový přístup. Takový odkaz musí obsahovat internetovou adresu a údaje pro přihlášení a vyhledání požadované informace, jsou-li takové údaje</w:t>
      </w:r>
      <w:r>
        <w:t xml:space="preserve"> nezbytné.</w:t>
      </w:r>
    </w:p>
    <w:p w:rsidR="008510CE" w:rsidRPr="00FF6351" w:rsidRDefault="00A03F9A" w:rsidP="008510CE">
      <w:pPr>
        <w:keepNext/>
        <w:numPr>
          <w:ilvl w:val="1"/>
          <w:numId w:val="0"/>
        </w:numPr>
        <w:tabs>
          <w:tab w:val="num" w:pos="510"/>
        </w:tabs>
        <w:spacing w:before="360" w:after="240"/>
        <w:ind w:left="406" w:hanging="406"/>
        <w:jc w:val="left"/>
        <w:outlineLvl w:val="1"/>
        <w:rPr>
          <w:rFonts w:cs="Arial"/>
          <w:b/>
          <w:bCs/>
          <w:iCs/>
          <w:szCs w:val="28"/>
        </w:rPr>
      </w:pPr>
      <w:r w:rsidRPr="00FF6351">
        <w:rPr>
          <w:rFonts w:cs="Arial"/>
          <w:b/>
          <w:bCs/>
          <w:iCs/>
          <w:szCs w:val="28"/>
        </w:rPr>
        <w:t>3.4.</w:t>
      </w:r>
      <w:r w:rsidRPr="00FF6351">
        <w:rPr>
          <w:rFonts w:cs="Arial"/>
          <w:b/>
          <w:bCs/>
          <w:iCs/>
          <w:szCs w:val="28"/>
        </w:rPr>
        <w:tab/>
        <w:t>Prokazování kvalifikačních předpokladů prostřednictvím SKD a SCD</w:t>
      </w:r>
    </w:p>
    <w:p w:rsidR="008510CE" w:rsidRPr="00FF6351" w:rsidRDefault="00A03F9A" w:rsidP="00D66540">
      <w:pPr>
        <w:autoSpaceDE w:val="0"/>
        <w:autoSpaceDN w:val="0"/>
        <w:adjustRightInd w:val="0"/>
        <w:jc w:val="left"/>
        <w:rPr>
          <w:bCs/>
        </w:rPr>
      </w:pPr>
      <w:r w:rsidRPr="00FF6351">
        <w:rPr>
          <w:bCs/>
        </w:rPr>
        <w:t>Dodavatel může prostřednictvím výpisu ze seznamu kvalifikovaných dodavatelů (dále jen „SKD“) prokáz</w:t>
      </w:r>
      <w:r>
        <w:rPr>
          <w:bCs/>
        </w:rPr>
        <w:t>at základní způsobilost podle</w:t>
      </w:r>
      <w:r w:rsidRPr="00155538">
        <w:rPr>
          <w:bCs/>
        </w:rPr>
        <w:t> </w:t>
      </w:r>
      <w:r>
        <w:rPr>
          <w:bCs/>
        </w:rPr>
        <w:t>§</w:t>
      </w:r>
      <w:r w:rsidRPr="00155538">
        <w:rPr>
          <w:bCs/>
        </w:rPr>
        <w:t> </w:t>
      </w:r>
      <w:r>
        <w:rPr>
          <w:bCs/>
        </w:rPr>
        <w:t>74</w:t>
      </w:r>
      <w:r w:rsidRPr="00155538">
        <w:rPr>
          <w:bCs/>
        </w:rPr>
        <w:t> </w:t>
      </w:r>
      <w:r w:rsidRPr="00FF6351">
        <w:rPr>
          <w:bCs/>
        </w:rPr>
        <w:t>ZZ</w:t>
      </w:r>
      <w:r>
        <w:rPr>
          <w:bCs/>
        </w:rPr>
        <w:t>VZ a profesní způsobilost podle</w:t>
      </w:r>
      <w:r w:rsidRPr="00155538">
        <w:rPr>
          <w:bCs/>
        </w:rPr>
        <w:t> </w:t>
      </w:r>
      <w:r>
        <w:rPr>
          <w:bCs/>
        </w:rPr>
        <w:t>§</w:t>
      </w:r>
      <w:r w:rsidRPr="00155538">
        <w:rPr>
          <w:bCs/>
        </w:rPr>
        <w:t> </w:t>
      </w:r>
      <w:r>
        <w:rPr>
          <w:bCs/>
        </w:rPr>
        <w:t>77</w:t>
      </w:r>
      <w:r w:rsidRPr="00155538">
        <w:rPr>
          <w:bCs/>
        </w:rPr>
        <w:t> </w:t>
      </w:r>
      <w:r>
        <w:rPr>
          <w:bCs/>
        </w:rPr>
        <w:t>ZZVZ v</w:t>
      </w:r>
      <w:r w:rsidRPr="00155538">
        <w:rPr>
          <w:bCs/>
        </w:rPr>
        <w:t> </w:t>
      </w:r>
      <w:r>
        <w:rPr>
          <w:bCs/>
        </w:rPr>
        <w:t>tom rozsahu, v</w:t>
      </w:r>
      <w:r w:rsidRPr="00155538">
        <w:rPr>
          <w:bCs/>
        </w:rPr>
        <w:t> </w:t>
      </w:r>
      <w:r w:rsidRPr="00FF6351">
        <w:rPr>
          <w:bCs/>
        </w:rPr>
        <w:t>jakém úd</w:t>
      </w:r>
      <w:r>
        <w:rPr>
          <w:bCs/>
        </w:rPr>
        <w:t>aje ve</w:t>
      </w:r>
      <w:r w:rsidRPr="00155538">
        <w:rPr>
          <w:bCs/>
        </w:rPr>
        <w:t> </w:t>
      </w:r>
      <w:r>
        <w:rPr>
          <w:bCs/>
        </w:rPr>
        <w:t>výpisu z</w:t>
      </w:r>
      <w:r w:rsidRPr="00155538">
        <w:rPr>
          <w:bCs/>
        </w:rPr>
        <w:t> </w:t>
      </w:r>
      <w:r w:rsidRPr="00FF6351">
        <w:rPr>
          <w:bCs/>
        </w:rPr>
        <w:t>SKD prokazují splnění k</w:t>
      </w:r>
      <w:r>
        <w:rPr>
          <w:bCs/>
        </w:rPr>
        <w:t>ritérií profesní způsobilosti.</w:t>
      </w:r>
    </w:p>
    <w:p w:rsidR="008510CE" w:rsidRPr="00FF6351" w:rsidRDefault="008510CE" w:rsidP="00D66540">
      <w:pPr>
        <w:ind w:right="-108"/>
        <w:jc w:val="left"/>
        <w:rPr>
          <w:bCs/>
          <w:highlight w:val="yellow"/>
        </w:rPr>
      </w:pPr>
    </w:p>
    <w:p w:rsidR="008510CE" w:rsidRPr="00FF6351" w:rsidRDefault="00A03F9A" w:rsidP="00D66540">
      <w:pPr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lastRenderedPageBreak/>
        <w:t>Zadavatel přijme výpis z</w:t>
      </w:r>
      <w:r w:rsidRPr="00155538">
        <w:rPr>
          <w:bCs/>
        </w:rPr>
        <w:t> </w:t>
      </w:r>
      <w:r>
        <w:rPr>
          <w:bCs/>
        </w:rPr>
        <w:t>SKD, pokud k</w:t>
      </w:r>
      <w:r w:rsidRPr="00155538">
        <w:rPr>
          <w:bCs/>
        </w:rPr>
        <w:t> </w:t>
      </w:r>
      <w:r>
        <w:rPr>
          <w:bCs/>
        </w:rPr>
        <w:t>poslednímu dni, ke</w:t>
      </w:r>
      <w:r w:rsidRPr="00155538">
        <w:rPr>
          <w:bCs/>
        </w:rPr>
        <w:t> </w:t>
      </w:r>
      <w:r w:rsidRPr="00FF6351">
        <w:rPr>
          <w:bCs/>
        </w:rPr>
        <w:t>kterému má být prokázána základní způsobilost nebo pro</w:t>
      </w:r>
      <w:r>
        <w:rPr>
          <w:bCs/>
        </w:rPr>
        <w:t>fesní způsobilost, není výpis z</w:t>
      </w:r>
      <w:r w:rsidRPr="00155538">
        <w:rPr>
          <w:bCs/>
        </w:rPr>
        <w:t> </w:t>
      </w:r>
      <w:r>
        <w:rPr>
          <w:bCs/>
        </w:rPr>
        <w:t>SKD starší n</w:t>
      </w:r>
      <w:r>
        <w:rPr>
          <w:bCs/>
        </w:rPr>
        <w:t>ež 3</w:t>
      </w:r>
      <w:r w:rsidRPr="00155538">
        <w:rPr>
          <w:bCs/>
        </w:rPr>
        <w:t> </w:t>
      </w:r>
      <w:r w:rsidRPr="00FF6351">
        <w:rPr>
          <w:bCs/>
        </w:rPr>
        <w:t>měsíce. Zadavatel nemus</w:t>
      </w:r>
      <w:r>
        <w:rPr>
          <w:bCs/>
        </w:rPr>
        <w:t>í přijmout výpis z</w:t>
      </w:r>
      <w:r w:rsidRPr="00155538">
        <w:rPr>
          <w:bCs/>
        </w:rPr>
        <w:t> </w:t>
      </w:r>
      <w:r>
        <w:rPr>
          <w:bCs/>
        </w:rPr>
        <w:t>SKD, na</w:t>
      </w:r>
      <w:r w:rsidRPr="00155538">
        <w:rPr>
          <w:bCs/>
        </w:rPr>
        <w:t> </w:t>
      </w:r>
      <w:r w:rsidRPr="00FF6351">
        <w:rPr>
          <w:bCs/>
        </w:rPr>
        <w:t xml:space="preserve">kterém je </w:t>
      </w:r>
      <w:r>
        <w:rPr>
          <w:bCs/>
        </w:rPr>
        <w:t>vyznačeno zahájení řízení podle</w:t>
      </w:r>
      <w:r w:rsidRPr="00155538">
        <w:rPr>
          <w:bCs/>
        </w:rPr>
        <w:t> </w:t>
      </w:r>
      <w:r>
        <w:rPr>
          <w:bCs/>
        </w:rPr>
        <w:t>§</w:t>
      </w:r>
      <w:r w:rsidRPr="00155538">
        <w:rPr>
          <w:bCs/>
        </w:rPr>
        <w:t> </w:t>
      </w:r>
      <w:r>
        <w:rPr>
          <w:bCs/>
        </w:rPr>
        <w:t>231</w:t>
      </w:r>
      <w:r w:rsidRPr="00155538">
        <w:rPr>
          <w:bCs/>
        </w:rPr>
        <w:t> </w:t>
      </w:r>
      <w:r>
        <w:rPr>
          <w:bCs/>
        </w:rPr>
        <w:t>odst.</w:t>
      </w:r>
      <w:r w:rsidRPr="00155538">
        <w:rPr>
          <w:bCs/>
        </w:rPr>
        <w:t xml:space="preserve">  </w:t>
      </w:r>
      <w:r>
        <w:rPr>
          <w:bCs/>
        </w:rPr>
        <w:t>4</w:t>
      </w:r>
      <w:r w:rsidRPr="00155538">
        <w:rPr>
          <w:bCs/>
        </w:rPr>
        <w:t xml:space="preserve">  </w:t>
      </w:r>
      <w:r w:rsidRPr="00FF6351">
        <w:rPr>
          <w:bCs/>
        </w:rPr>
        <w:t>ZZVZ.</w:t>
      </w:r>
    </w:p>
    <w:p w:rsidR="008510CE" w:rsidRPr="00FF6351" w:rsidRDefault="008510CE" w:rsidP="00D66540">
      <w:pPr>
        <w:autoSpaceDE w:val="0"/>
        <w:autoSpaceDN w:val="0"/>
        <w:adjustRightInd w:val="0"/>
        <w:jc w:val="left"/>
        <w:rPr>
          <w:bCs/>
          <w:highlight w:val="yellow"/>
        </w:rPr>
      </w:pPr>
    </w:p>
    <w:p w:rsidR="008510CE" w:rsidRPr="00FF6351" w:rsidRDefault="00A03F9A" w:rsidP="00D66540">
      <w:pPr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>Stejně jako výpis z</w:t>
      </w:r>
      <w:r w:rsidRPr="00155538">
        <w:rPr>
          <w:bCs/>
        </w:rPr>
        <w:t> </w:t>
      </w:r>
      <w:r w:rsidRPr="00FF6351">
        <w:rPr>
          <w:bCs/>
        </w:rPr>
        <w:t>SKD může dodavatel prokázat kvalifikaci osvědčením, které pochází z</w:t>
      </w:r>
      <w:r w:rsidRPr="00155538">
        <w:rPr>
          <w:bCs/>
        </w:rPr>
        <w:t> </w:t>
      </w:r>
      <w:r>
        <w:rPr>
          <w:bCs/>
        </w:rPr>
        <w:t>jiného členského státu, v</w:t>
      </w:r>
      <w:r w:rsidRPr="00155538">
        <w:rPr>
          <w:bCs/>
        </w:rPr>
        <w:t> </w:t>
      </w:r>
      <w:r>
        <w:rPr>
          <w:bCs/>
        </w:rPr>
        <w:t xml:space="preserve">němž má dodavatel </w:t>
      </w:r>
      <w:r>
        <w:rPr>
          <w:bCs/>
        </w:rPr>
        <w:t>sídlo, a</w:t>
      </w:r>
      <w:r w:rsidRPr="00155538">
        <w:rPr>
          <w:bCs/>
        </w:rPr>
        <w:t> </w:t>
      </w:r>
      <w:r w:rsidRPr="00FF6351">
        <w:rPr>
          <w:bCs/>
        </w:rPr>
        <w:t>které je obdobou výpisu z</w:t>
      </w:r>
      <w:r w:rsidRPr="00155538">
        <w:rPr>
          <w:bCs/>
        </w:rPr>
        <w:t> </w:t>
      </w:r>
      <w:r w:rsidRPr="00FF6351">
        <w:rPr>
          <w:bCs/>
        </w:rPr>
        <w:t>SKD.</w:t>
      </w:r>
    </w:p>
    <w:p w:rsidR="008510CE" w:rsidRPr="00FF6351" w:rsidRDefault="008510CE" w:rsidP="00D66540">
      <w:pPr>
        <w:autoSpaceDE w:val="0"/>
        <w:autoSpaceDN w:val="0"/>
        <w:adjustRightInd w:val="0"/>
        <w:jc w:val="left"/>
        <w:rPr>
          <w:bCs/>
        </w:rPr>
      </w:pPr>
    </w:p>
    <w:p w:rsidR="008510CE" w:rsidRPr="00FF6351" w:rsidRDefault="00A03F9A" w:rsidP="00D66540">
      <w:pPr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>Platným certifikátem vydaným v</w:t>
      </w:r>
      <w:r w:rsidRPr="00155538">
        <w:rPr>
          <w:bCs/>
        </w:rPr>
        <w:t> </w:t>
      </w:r>
      <w:r w:rsidRPr="00FF6351">
        <w:rPr>
          <w:bCs/>
        </w:rPr>
        <w:t>rámci schváleného systému certifikovaných dodavatelů (dále jen „S</w:t>
      </w:r>
      <w:r>
        <w:rPr>
          <w:bCs/>
        </w:rPr>
        <w:t>CD“) lze prokázat kvalifikaci v</w:t>
      </w:r>
      <w:r w:rsidRPr="00155538">
        <w:rPr>
          <w:bCs/>
        </w:rPr>
        <w:t> </w:t>
      </w:r>
      <w:r w:rsidRPr="00FF6351">
        <w:rPr>
          <w:bCs/>
        </w:rPr>
        <w:t xml:space="preserve">zadávacím řízení. Má se za to, </w:t>
      </w:r>
      <w:r>
        <w:rPr>
          <w:bCs/>
        </w:rPr>
        <w:t>že dodavatel je kvalifikovaný v</w:t>
      </w:r>
      <w:r w:rsidRPr="00155538">
        <w:rPr>
          <w:bCs/>
        </w:rPr>
        <w:t> </w:t>
      </w:r>
      <w:r>
        <w:rPr>
          <w:bCs/>
        </w:rPr>
        <w:t>rozsahu uvedeném na</w:t>
      </w:r>
      <w:r w:rsidRPr="00155538">
        <w:rPr>
          <w:bCs/>
        </w:rPr>
        <w:t> </w:t>
      </w:r>
      <w:r w:rsidRPr="00FF6351">
        <w:rPr>
          <w:bCs/>
        </w:rPr>
        <w:t>cert</w:t>
      </w:r>
      <w:r w:rsidRPr="00FF6351">
        <w:rPr>
          <w:bCs/>
        </w:rPr>
        <w:t>ifikátu.</w:t>
      </w:r>
    </w:p>
    <w:p w:rsidR="008510CE" w:rsidRDefault="00A03F9A" w:rsidP="00D66540">
      <w:pPr>
        <w:keepNext/>
        <w:ind w:right="-108"/>
        <w:jc w:val="left"/>
        <w:rPr>
          <w:bCs/>
        </w:rPr>
      </w:pPr>
      <w:r w:rsidRPr="00FF6351">
        <w:rPr>
          <w:bCs/>
        </w:rPr>
        <w:t>Stejně jako certifikátem vydaným v rámci schváleného SCD může dodavatel prokázat kvalifikaci osvědčením, které pochází z jiného členského státu, v němž má dodavatel sídlo, a které je obdobou certifikátu vydaného v rámci systému certifikovaných dod</w:t>
      </w:r>
      <w:r w:rsidRPr="00FF6351">
        <w:rPr>
          <w:bCs/>
        </w:rPr>
        <w:t>avatelů.</w:t>
      </w:r>
    </w:p>
    <w:p w:rsidR="008510CE" w:rsidRPr="0053384F" w:rsidRDefault="008510CE" w:rsidP="008510CE">
      <w:pPr>
        <w:keepNext/>
        <w:ind w:right="-108"/>
        <w:jc w:val="left"/>
        <w:rPr>
          <w:bCs/>
        </w:rPr>
      </w:pPr>
    </w:p>
    <w:p w:rsidR="008510CE" w:rsidRDefault="00A03F9A" w:rsidP="008510CE">
      <w:pPr>
        <w:keepNext/>
        <w:tabs>
          <w:tab w:val="num" w:pos="510"/>
        </w:tabs>
        <w:ind w:right="-108"/>
        <w:jc w:val="left"/>
        <w:rPr>
          <w:b/>
          <w:bCs/>
          <w:iCs/>
        </w:rPr>
      </w:pPr>
      <w:r w:rsidRPr="00DB7D02">
        <w:rPr>
          <w:b/>
          <w:bCs/>
          <w:iCs/>
        </w:rPr>
        <w:t>3.5.</w:t>
      </w:r>
      <w:r w:rsidRPr="00DB7D02">
        <w:rPr>
          <w:b/>
          <w:bCs/>
          <w:iCs/>
        </w:rPr>
        <w:tab/>
        <w:t>Předložení dokladů</w:t>
      </w:r>
    </w:p>
    <w:p w:rsidR="008510CE" w:rsidRPr="00DB7D02" w:rsidRDefault="008510CE" w:rsidP="008510CE">
      <w:pPr>
        <w:keepNext/>
        <w:tabs>
          <w:tab w:val="num" w:pos="510"/>
        </w:tabs>
        <w:ind w:right="-108"/>
        <w:jc w:val="left"/>
        <w:rPr>
          <w:b/>
          <w:bCs/>
          <w:iCs/>
        </w:rPr>
      </w:pPr>
    </w:p>
    <w:p w:rsidR="008510CE" w:rsidRDefault="00A03F9A" w:rsidP="00D66540">
      <w:pPr>
        <w:ind w:right="-108"/>
        <w:jc w:val="left"/>
        <w:rPr>
          <w:bCs/>
        </w:rPr>
      </w:pPr>
      <w:r w:rsidRPr="00D7004A">
        <w:rPr>
          <w:bCs/>
        </w:rPr>
        <w:t xml:space="preserve">V případě, že byla kvalifikace získána v zahraničí, prokazuje se doklady vydanými podle právního řádu země, ve které byla získána, a to v rozsahu požadovaném zadavatelem. </w:t>
      </w:r>
    </w:p>
    <w:p w:rsidR="008510CE" w:rsidRDefault="008510CE" w:rsidP="00D66540">
      <w:pPr>
        <w:ind w:right="-108"/>
        <w:jc w:val="left"/>
        <w:rPr>
          <w:bCs/>
        </w:rPr>
      </w:pPr>
    </w:p>
    <w:p w:rsidR="008510CE" w:rsidRDefault="00A03F9A" w:rsidP="00D66540">
      <w:pPr>
        <w:jc w:val="left"/>
      </w:pPr>
      <w:r>
        <w:t>Pokud zadavatel vyžaduje předložení dokladu podl</w:t>
      </w:r>
      <w:r>
        <w:t>e právního řádu České republiky, může dodavatel předložit obdobný doklad podle právního řádu státu, ve kterém se tento doklad vydává; tento doklad se předkládá s překladem do českého jazyka. Doklad ve slovenském jazyce a doklad o vzdělání v latinském jazyc</w:t>
      </w:r>
      <w:r>
        <w:t xml:space="preserve">e se předkládají bez překladu. </w:t>
      </w:r>
    </w:p>
    <w:p w:rsidR="008510CE" w:rsidRDefault="008510CE" w:rsidP="00D66540">
      <w:pPr>
        <w:jc w:val="left"/>
      </w:pPr>
    </w:p>
    <w:p w:rsidR="008510CE" w:rsidRPr="00B961A7" w:rsidRDefault="00A03F9A" w:rsidP="00D66540">
      <w:pPr>
        <w:jc w:val="left"/>
      </w:pPr>
      <w:r>
        <w:t>Pokud se podle příslušného právního řádu požadovaný doklad nevydává, může být nahrazen čestným prohlášením.</w:t>
      </w:r>
    </w:p>
    <w:p w:rsidR="008510CE" w:rsidRDefault="008510CE" w:rsidP="00D66540">
      <w:pPr>
        <w:ind w:right="-108"/>
        <w:jc w:val="left"/>
        <w:rPr>
          <w:bCs/>
        </w:rPr>
      </w:pPr>
    </w:p>
    <w:p w:rsidR="008510CE" w:rsidRDefault="00A03F9A" w:rsidP="00D66540">
      <w:pPr>
        <w:ind w:right="-108"/>
        <w:jc w:val="left"/>
        <w:rPr>
          <w:bCs/>
          <w:highlight w:val="yellow"/>
        </w:rPr>
      </w:pPr>
      <w:r w:rsidRPr="00FC0AC5">
        <w:rPr>
          <w:bCs/>
        </w:rPr>
        <w:t>Pokud ne</w:t>
      </w:r>
      <w:r>
        <w:rPr>
          <w:bCs/>
        </w:rPr>
        <w:t xml:space="preserve">ní </w:t>
      </w:r>
      <w:r w:rsidRPr="00FC0AC5">
        <w:rPr>
          <w:bCs/>
        </w:rPr>
        <w:t xml:space="preserve">v zadávací dokumentaci </w:t>
      </w:r>
      <w:r>
        <w:rPr>
          <w:bCs/>
        </w:rPr>
        <w:t>stanoveno</w:t>
      </w:r>
      <w:r w:rsidRPr="00FC0AC5">
        <w:rPr>
          <w:bCs/>
        </w:rPr>
        <w:t xml:space="preserve"> jinak, může dodavatel v nabídce nahradit předložení dokladů čestným prohlášením. Dodavatel může vždy nahradit požadované doklady jednotným evropským osvědčením pro veřejné zakázky.</w:t>
      </w:r>
    </w:p>
    <w:p w:rsidR="008510CE" w:rsidRDefault="00733E9B" w:rsidP="00733E9B">
      <w:pPr>
        <w:pStyle w:val="Nadpis1"/>
      </w:pPr>
      <w:r>
        <w:t>4.</w:t>
      </w:r>
      <w:r w:rsidR="00A03F9A" w:rsidRPr="004B611B">
        <w:tab/>
        <w:t xml:space="preserve">Požadavek na poskytnutí jistoty </w:t>
      </w:r>
    </w:p>
    <w:p w:rsidR="008510CE" w:rsidRPr="00A743DC" w:rsidRDefault="00A03F9A" w:rsidP="008510CE">
      <w:pPr>
        <w:widowControl w:val="0"/>
        <w:ind w:right="-108"/>
        <w:jc w:val="left"/>
        <w:rPr>
          <w:bCs/>
        </w:rPr>
      </w:pPr>
      <w:r>
        <w:rPr>
          <w:bCs/>
        </w:rPr>
        <w:t>Z</w:t>
      </w:r>
      <w:r w:rsidRPr="001877EE">
        <w:rPr>
          <w:bCs/>
        </w:rPr>
        <w:t xml:space="preserve">adavatel nepožaduje poskytnutí </w:t>
      </w:r>
      <w:r w:rsidRPr="001877EE">
        <w:rPr>
          <w:bCs/>
        </w:rPr>
        <w:t>jistoty.</w:t>
      </w:r>
    </w:p>
    <w:p w:rsidR="008510CE" w:rsidRDefault="00A03F9A" w:rsidP="008510CE">
      <w:pPr>
        <w:pStyle w:val="Nadpis1"/>
      </w:pPr>
      <w:r w:rsidRPr="005D22A8">
        <w:t>5.</w:t>
      </w:r>
      <w:r w:rsidRPr="005D22A8">
        <w:tab/>
        <w:t>Požadavek Na způsob zpracování nabídkové ceny</w:t>
      </w:r>
    </w:p>
    <w:p w:rsidR="008510CE" w:rsidRDefault="008510CE" w:rsidP="008510CE">
      <w:pPr>
        <w:widowControl w:val="0"/>
        <w:ind w:right="-108"/>
        <w:rPr>
          <w:bCs/>
        </w:rPr>
      </w:pPr>
    </w:p>
    <w:p w:rsidR="008510CE" w:rsidRPr="005D22A8" w:rsidRDefault="00A03F9A" w:rsidP="008510CE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 w:rsidR="0047221B">
        <w:rPr>
          <w:bCs/>
        </w:rPr>
        <w:t xml:space="preserve"> </w:t>
      </w:r>
      <w:r w:rsidR="001A2A81">
        <w:rPr>
          <w:bCs/>
        </w:rPr>
        <w:t>(</w:t>
      </w:r>
      <w:r w:rsidR="0047221B">
        <w:rPr>
          <w:bCs/>
        </w:rPr>
        <w:t>koruna česká</w:t>
      </w:r>
      <w:r w:rsidR="001A2A81">
        <w:rPr>
          <w:bCs/>
        </w:rPr>
        <w:t>)</w:t>
      </w:r>
      <w:r w:rsidRPr="005D22A8">
        <w:rPr>
          <w:bCs/>
        </w:rPr>
        <w:t>.</w:t>
      </w:r>
    </w:p>
    <w:p w:rsidR="008510CE" w:rsidRPr="005D22A8" w:rsidRDefault="008510CE" w:rsidP="008510CE">
      <w:pPr>
        <w:widowControl w:val="0"/>
        <w:ind w:right="-108"/>
        <w:rPr>
          <w:bCs/>
        </w:rPr>
      </w:pPr>
    </w:p>
    <w:p w:rsidR="008510CE" w:rsidRPr="005D22A8" w:rsidRDefault="00A03F9A" w:rsidP="008510CE">
      <w:pPr>
        <w:widowControl w:val="0"/>
        <w:ind w:right="-108"/>
        <w:rPr>
          <w:bCs/>
        </w:rPr>
      </w:pPr>
      <w:r w:rsidRPr="005D22A8">
        <w:rPr>
          <w:bCs/>
        </w:rPr>
        <w:t xml:space="preserve">Celková nabídková cena bude obsahovat veškeré náklady nezbytné k řádné </w:t>
      </w:r>
      <w:r w:rsidRPr="005D22A8">
        <w:rPr>
          <w:bCs/>
        </w:rPr>
        <w:t>a včasné realizaci předmětu veřejné zakázky.</w:t>
      </w:r>
    </w:p>
    <w:p w:rsidR="008510CE" w:rsidRPr="005D22A8" w:rsidRDefault="008510CE" w:rsidP="008510CE">
      <w:pPr>
        <w:widowControl w:val="0"/>
        <w:ind w:right="-108"/>
        <w:rPr>
          <w:bCs/>
        </w:rPr>
      </w:pPr>
    </w:p>
    <w:p w:rsidR="008510CE" w:rsidRPr="005D22A8" w:rsidRDefault="00A03F9A" w:rsidP="008510CE">
      <w:pPr>
        <w:widowControl w:val="0"/>
        <w:ind w:right="-108"/>
        <w:rPr>
          <w:bCs/>
        </w:rPr>
      </w:pPr>
      <w:r w:rsidRPr="005D22A8">
        <w:rPr>
          <w:bCs/>
        </w:rPr>
        <w:t xml:space="preserve">Cena bude stanovena jako cena nejvýše přípustná a platná po celou dobu realizace veřejné </w:t>
      </w:r>
      <w:r w:rsidRPr="005D22A8">
        <w:rPr>
          <w:bCs/>
        </w:rPr>
        <w:lastRenderedPageBreak/>
        <w:t>zakázky.</w:t>
      </w:r>
    </w:p>
    <w:p w:rsidR="008510CE" w:rsidRPr="005D22A8" w:rsidRDefault="008510CE" w:rsidP="008510CE">
      <w:pPr>
        <w:widowControl w:val="0"/>
        <w:ind w:right="-108"/>
        <w:rPr>
          <w:bCs/>
        </w:rPr>
      </w:pPr>
    </w:p>
    <w:p w:rsidR="008510CE" w:rsidRPr="005D22A8" w:rsidRDefault="008510CE" w:rsidP="008510CE">
      <w:pPr>
        <w:widowControl w:val="0"/>
        <w:ind w:right="-108"/>
        <w:rPr>
          <w:bCs/>
        </w:rPr>
      </w:pPr>
    </w:p>
    <w:p w:rsidR="008510CE" w:rsidRDefault="00A03F9A" w:rsidP="008510CE">
      <w:pPr>
        <w:widowControl w:val="0"/>
        <w:ind w:right="-108"/>
        <w:rPr>
          <w:bCs/>
        </w:rPr>
      </w:pPr>
      <w:r w:rsidRPr="005D22A8">
        <w:rPr>
          <w:bCs/>
        </w:rPr>
        <w:t xml:space="preserve">Nabídková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 xml:space="preserve">bude členěna jako cena bez DPH, výše DPH včetně příslušné sazby </w:t>
      </w:r>
      <w:r w:rsidRPr="005D22A8">
        <w:rPr>
          <w:bCs/>
        </w:rPr>
        <w:t>DPH, nabídková cena s DPH.</w:t>
      </w:r>
    </w:p>
    <w:p w:rsidR="00EB1B92" w:rsidRPr="006840C0" w:rsidRDefault="00A03F9A" w:rsidP="00153CD5">
      <w:pPr>
        <w:jc w:val="left"/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:rsidR="009100D4" w:rsidRPr="00067CD4" w:rsidRDefault="00A03F9A" w:rsidP="00CD02E3">
      <w:pPr>
        <w:widowControl w:val="0"/>
        <w:spacing w:before="240"/>
        <w:ind w:right="-108"/>
        <w:jc w:val="left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6.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RDefault="00A03F9A" w:rsidP="00324BCF">
      <w:pPr>
        <w:keepNext/>
        <w:tabs>
          <w:tab w:val="left" w:pos="993"/>
        </w:tabs>
        <w:spacing w:before="36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6.1.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RDefault="00324BCF" w:rsidP="00324BCF">
      <w:pPr>
        <w:jc w:val="left"/>
      </w:pPr>
    </w:p>
    <w:p w:rsidR="00324BCF" w:rsidRDefault="00A03F9A" w:rsidP="00324BCF">
      <w:pPr>
        <w:jc w:val="left"/>
      </w:pPr>
      <w:r>
        <w:t>Zadavatel</w:t>
      </w:r>
      <w:r w:rsidR="004452C0">
        <w:t xml:space="preserve"> bude</w:t>
      </w:r>
      <w:r>
        <w:t xml:space="preserve"> nabídky</w:t>
      </w:r>
      <w:r w:rsidR="004452C0">
        <w:t xml:space="preserve"> </w:t>
      </w:r>
      <w:r>
        <w:t>hodnotit podle jejich ekonomické výhodnosti.</w:t>
      </w:r>
    </w:p>
    <w:p w:rsidR="00067CD4" w:rsidRDefault="00067CD4" w:rsidP="00324BCF">
      <w:pPr>
        <w:jc w:val="left"/>
        <w:rPr>
          <w:bCs/>
        </w:rPr>
      </w:pPr>
    </w:p>
    <w:p w:rsidR="00324BCF" w:rsidRDefault="00A03F9A" w:rsidP="00324BCF">
      <w:pPr>
        <w:jc w:val="left"/>
        <w:rPr>
          <w:b/>
          <w:bCs/>
        </w:rPr>
      </w:pPr>
      <w:r>
        <w:rPr>
          <w:bCs/>
        </w:rPr>
        <w:t>Z</w:t>
      </w:r>
      <w:r w:rsidR="000605C0">
        <w:rPr>
          <w:bCs/>
        </w:rPr>
        <w:t>adavatel zvolil kritériem</w:t>
      </w:r>
      <w:r w:rsidR="000605C0">
        <w:t xml:space="preserve"> </w:t>
      </w:r>
      <w:r w:rsidR="000605C0">
        <w:rPr>
          <w:bCs/>
        </w:rPr>
        <w:t>hodnocení</w:t>
      </w:r>
      <w:r w:rsidR="000605C0">
        <w:rPr>
          <w:b/>
          <w:bCs/>
        </w:rPr>
        <w:t xml:space="preserve"> nejnižší nabídkovou cenu.</w:t>
      </w:r>
    </w:p>
    <w:p w:rsidR="0070402B" w:rsidRDefault="0070402B" w:rsidP="006055CD">
      <w:pPr>
        <w:jc w:val="left"/>
      </w:pPr>
    </w:p>
    <w:p w:rsidR="0070402B" w:rsidRDefault="00A03F9A" w:rsidP="00DB13DA">
      <w:pPr>
        <w:keepNext/>
        <w:jc w:val="left"/>
      </w:pPr>
      <w:r w:rsidRPr="00B60D77">
        <w:rPr>
          <w:bCs/>
        </w:rPr>
        <w:t>6.1.1.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RDefault="0070402B" w:rsidP="00DB13DA">
      <w:pPr>
        <w:keepNext/>
        <w:jc w:val="left"/>
      </w:pPr>
    </w:p>
    <w:p w:rsidR="0001135D" w:rsidRPr="0001135D" w:rsidRDefault="00A03F9A" w:rsidP="0001135D">
      <w:pPr>
        <w:keepNext/>
        <w:jc w:val="left"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6249D8" w:rsidTr="004F22AD">
        <w:trPr>
          <w:cantSplit/>
        </w:trPr>
        <w:tc>
          <w:tcPr>
            <w:tcW w:w="1758" w:type="dxa"/>
            <w:vAlign w:val="center"/>
          </w:tcPr>
          <w:p w:rsidR="0001135D" w:rsidRPr="0001135D" w:rsidRDefault="00A03F9A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RDefault="00A03F9A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RDefault="00A03F9A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RDefault="00A03F9A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RDefault="00A03F9A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:rsidR="006249D8" w:rsidTr="004F22AD"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RDefault="00A03F9A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RDefault="00A03F9A" w:rsidP="00017AD8">
            <w:pPr>
              <w:jc w:val="left"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RDefault="00A03F9A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RDefault="00A03F9A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RDefault="00A03F9A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RDefault="0001135D" w:rsidP="0001135D">
      <w:pPr>
        <w:rPr>
          <w:sz w:val="12"/>
        </w:rPr>
      </w:pPr>
    </w:p>
    <w:p w:rsidR="0001135D" w:rsidRDefault="0001135D" w:rsidP="0070402B">
      <w:pPr>
        <w:jc w:val="left"/>
      </w:pPr>
    </w:p>
    <w:p w:rsidR="00AC434C" w:rsidRPr="00AC434C" w:rsidRDefault="00A03F9A" w:rsidP="00E4282A">
      <w:pPr>
        <w:keepNext/>
        <w:jc w:val="left"/>
      </w:pPr>
      <w:r w:rsidRPr="00AC434C">
        <w:rPr>
          <w:bCs/>
        </w:rPr>
        <w:t>6.1.2.</w:t>
      </w:r>
      <w:r w:rsidRPr="00AC434C">
        <w:rPr>
          <w:bCs/>
        </w:rPr>
        <w:tab/>
        <w:t>Subkritéria kritérií hodnocení</w:t>
      </w:r>
    </w:p>
    <w:p w:rsidR="00BA4863" w:rsidRPr="00BA4863" w:rsidRDefault="00BA4863" w:rsidP="00E4282A">
      <w:pPr>
        <w:keepNext/>
        <w:jc w:val="left"/>
      </w:pPr>
    </w:p>
    <w:p w:rsidR="00600A55" w:rsidRPr="006D125A" w:rsidRDefault="00A03F9A" w:rsidP="00667258">
      <w:pPr>
        <w:jc w:val="left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RDefault="00A03F9A" w:rsidP="002467CE">
      <w:pPr>
        <w:keepNext/>
        <w:jc w:val="left"/>
      </w:pPr>
      <w:r w:rsidRPr="002467CE">
        <w:t xml:space="preserve">Kritérium hodnocení č. K001 - </w:t>
      </w:r>
      <w:r w:rsidRPr="002467CE">
        <w:t xml:space="preserve">Nabídková cena </w:t>
      </w:r>
      <w:r>
        <w:t>se dále nedělí na subkritéria.</w:t>
      </w:r>
    </w:p>
    <w:p w:rsidR="00BA4863" w:rsidRPr="00BA4863" w:rsidRDefault="00A03F9A" w:rsidP="00E4282A">
      <w:pPr>
        <w:keepNext/>
        <w:jc w:val="left"/>
      </w:pPr>
      <w:r w:rsidRPr="00BA4863">
        <w:t xml:space="preserve"> </w:t>
      </w:r>
    </w:p>
    <w:p w:rsidR="00D62E85" w:rsidRDefault="00A03F9A" w:rsidP="005D2EE8">
      <w:pPr>
        <w:keepNext/>
        <w:spacing w:before="240"/>
        <w:jc w:val="left"/>
        <w:rPr>
          <w:b/>
          <w:bCs/>
          <w:iCs/>
        </w:rPr>
      </w:pPr>
      <w:r w:rsidRPr="007E188C">
        <w:rPr>
          <w:b/>
          <w:bCs/>
          <w:iCs/>
        </w:rPr>
        <w:t>6.2.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RDefault="005D2EE8" w:rsidP="005D2EE8">
      <w:pPr>
        <w:keepNext/>
        <w:jc w:val="left"/>
        <w:rPr>
          <w:b/>
          <w:bCs/>
          <w:iCs/>
          <w:sz w:val="20"/>
          <w:szCs w:val="20"/>
        </w:rPr>
      </w:pPr>
    </w:p>
    <w:p w:rsidR="00970C2B" w:rsidRDefault="00A03F9A" w:rsidP="00970C2B">
      <w:pPr>
        <w:keepNext/>
        <w:jc w:val="left"/>
        <w:rPr>
          <w:bCs/>
        </w:rPr>
      </w:pPr>
      <w:r w:rsidRPr="00712D07">
        <w:rPr>
          <w:bCs/>
        </w:rPr>
        <w:t>6.2.1.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:rsidR="00970C2B" w:rsidRPr="00712D07" w:rsidRDefault="00970C2B" w:rsidP="00970C2B">
      <w:pPr>
        <w:keepNext/>
        <w:jc w:val="left"/>
        <w:rPr>
          <w:i/>
        </w:rPr>
      </w:pPr>
    </w:p>
    <w:p w:rsidR="0006263A" w:rsidRDefault="00A03F9A" w:rsidP="001125F0">
      <w:r>
        <w:t>H</w:t>
      </w:r>
      <w:r w:rsidRPr="008B7129">
        <w:t>odno</w:t>
      </w:r>
      <w:r>
        <w:t>cena bude nabídková cena s DPH.</w:t>
      </w:r>
    </w:p>
    <w:p w:rsidR="001125F0" w:rsidRPr="001125F0" w:rsidRDefault="001125F0" w:rsidP="00D62E85">
      <w:pPr>
        <w:rPr>
          <w:u w:val="single"/>
        </w:rPr>
      </w:pPr>
    </w:p>
    <w:p w:rsidR="001125F0" w:rsidRDefault="00A03F9A" w:rsidP="001125F0">
      <w:pPr>
        <w:keepNext/>
        <w:jc w:val="left"/>
        <w:rPr>
          <w:bCs/>
        </w:rPr>
      </w:pPr>
      <w:r w:rsidRPr="00726330">
        <w:rPr>
          <w:bCs/>
        </w:rPr>
        <w:t>6.2.2.</w:t>
      </w:r>
      <w:r w:rsidRPr="00726330">
        <w:rPr>
          <w:bCs/>
        </w:rPr>
        <w:tab/>
      </w:r>
      <w:r>
        <w:t>Další pravidla pro hodnocení nabídek</w:t>
      </w:r>
    </w:p>
    <w:p w:rsidR="001125F0" w:rsidRPr="001125F0" w:rsidRDefault="001125F0" w:rsidP="00D62E85">
      <w:pPr>
        <w:rPr>
          <w:u w:val="single"/>
        </w:rPr>
      </w:pPr>
    </w:p>
    <w:p w:rsidR="001125F0" w:rsidRDefault="00A03F9A" w:rsidP="001125F0">
      <w:r w:rsidRPr="00E21605">
        <w:t xml:space="preserve">V případě, </w:t>
      </w:r>
      <w:r>
        <w:t>že</w:t>
      </w:r>
      <w:r w:rsidRPr="00644EE7">
        <w:t xml:space="preserve">  nabídky</w:t>
      </w:r>
      <w:r w:rsidRPr="00644EE7">
        <w:t xml:space="preserve"> </w:t>
      </w:r>
      <w:r w:rsidRPr="00E21605">
        <w:t>více dodavatelů budou po stanovení výsledného pořadí zaujímat stejné pořadí, stanoví zadavatel konečné pořadí nabídek</w:t>
      </w:r>
      <w:r>
        <w:t>:</w:t>
      </w:r>
    </w:p>
    <w:p w:rsidR="001125F0" w:rsidRDefault="00A03F9A" w:rsidP="001125F0">
      <w:pPr>
        <w:ind w:firstLine="708"/>
        <w:rPr>
          <w:u w:val="single"/>
        </w:rPr>
      </w:pPr>
      <w:r>
        <w:t>zrušení ZŘ</w:t>
      </w:r>
    </w:p>
    <w:p w:rsidR="001125F0" w:rsidRDefault="00A03F9A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6.3.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:rsidR="001125F0" w:rsidRDefault="00A03F9A" w:rsidP="001125F0">
      <w:r>
        <w:t>P</w:t>
      </w:r>
      <w:r w:rsidRPr="009A5210">
        <w:t>ostup stanovení pořadí nabídek:</w:t>
      </w:r>
    </w:p>
    <w:p w:rsidR="001125F0" w:rsidRDefault="00A03F9A" w:rsidP="001125F0">
      <w:pPr>
        <w:ind w:firstLine="708"/>
      </w:pPr>
      <w:r>
        <w:t>dle výše nabídkových cen vzestupně</w:t>
      </w:r>
    </w:p>
    <w:p w:rsidR="001125F0" w:rsidRDefault="001125F0" w:rsidP="001125F0">
      <w:pPr>
        <w:ind w:firstLine="708"/>
      </w:pPr>
    </w:p>
    <w:p w:rsidR="001125F0" w:rsidRPr="001125F0" w:rsidRDefault="00A03F9A" w:rsidP="001125F0">
      <w:r w:rsidRPr="009A5210">
        <w:rPr>
          <w:bCs/>
        </w:rPr>
        <w:t xml:space="preserve">Pořadí nabídek </w:t>
      </w:r>
      <w:r w:rsidRPr="009A5210">
        <w:rPr>
          <w:bCs/>
        </w:rPr>
        <w:t>bude stanoveno na základě následujícího vzorce:</w:t>
      </w:r>
    </w:p>
    <w:p w:rsidR="001125F0" w:rsidRDefault="00A03F9A" w:rsidP="001125F0">
      <w:pPr>
        <w:ind w:firstLine="708"/>
      </w:pPr>
      <w:r w:rsidRPr="009A5210">
        <w:t>K001 * 1</w:t>
      </w:r>
    </w:p>
    <w:p w:rsidR="00CD4456" w:rsidRDefault="00CD4456" w:rsidP="001125F0">
      <w:pPr>
        <w:ind w:firstLine="708"/>
      </w:pPr>
    </w:p>
    <w:p w:rsidR="008510CE" w:rsidRDefault="008510CE" w:rsidP="008510CE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</w:p>
    <w:p w:rsidR="008510CE" w:rsidRPr="00781C9B" w:rsidRDefault="008510CE" w:rsidP="008510CE">
      <w:pPr>
        <w:jc w:val="left"/>
        <w:rPr>
          <w:color w:val="E36C0A"/>
          <w:sz w:val="2"/>
          <w:u w:val="single"/>
        </w:rPr>
      </w:pPr>
    </w:p>
    <w:p w:rsidR="008510CE" w:rsidRPr="00781C9B" w:rsidRDefault="00A03F9A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  <w:bookmarkStart w:id="6" w:name="_Toc350412605"/>
      <w:r w:rsidRPr="00781C9B">
        <w:rPr>
          <w:rFonts w:cs="Arial"/>
          <w:b/>
          <w:bCs/>
          <w:caps/>
          <w:kern w:val="32"/>
          <w:szCs w:val="32"/>
        </w:rPr>
        <w:t>7.</w:t>
      </w:r>
      <w:r w:rsidRPr="00781C9B">
        <w:rPr>
          <w:rFonts w:cs="Arial"/>
          <w:b/>
          <w:bCs/>
          <w:caps/>
          <w:kern w:val="32"/>
          <w:szCs w:val="32"/>
        </w:rPr>
        <w:tab/>
        <w:t>Obchodní podmínky a návrh smlouvy</w:t>
      </w:r>
      <w:bookmarkEnd w:id="6"/>
    </w:p>
    <w:p w:rsidR="008510CE" w:rsidRPr="00781C9B" w:rsidRDefault="008510CE" w:rsidP="008510CE">
      <w:pPr>
        <w:rPr>
          <w:i/>
        </w:rPr>
      </w:pPr>
    </w:p>
    <w:p w:rsidR="008510CE" w:rsidRPr="00781C9B" w:rsidRDefault="00A03F9A" w:rsidP="008510CE">
      <w:pPr>
        <w:keepNext/>
        <w:rPr>
          <w:sz w:val="2"/>
        </w:rPr>
      </w:pPr>
      <w:r>
        <w:rPr>
          <w:b/>
          <w:i/>
        </w:rPr>
        <w:t>Zadavatel požaduje</w:t>
      </w:r>
      <w:r>
        <w:rPr>
          <w:b/>
          <w:i/>
        </w:rPr>
        <w:t xml:space="preserve"> předložení návrhu smlouvy v</w:t>
      </w:r>
      <w:r w:rsidR="00C94B6B">
        <w:rPr>
          <w:b/>
          <w:i/>
        </w:rPr>
        <w:t> </w:t>
      </w:r>
      <w:r>
        <w:rPr>
          <w:b/>
          <w:i/>
        </w:rPr>
        <w:t>nabídce</w:t>
      </w:r>
      <w:r w:rsidRPr="00781C9B">
        <w:rPr>
          <w:b/>
          <w:i/>
        </w:rPr>
        <w:t>.</w:t>
      </w:r>
    </w:p>
    <w:p w:rsidR="008510CE" w:rsidRPr="00781C9B" w:rsidRDefault="008510CE" w:rsidP="008510CE">
      <w:pPr>
        <w:rPr>
          <w:sz w:val="2"/>
        </w:rPr>
      </w:pPr>
    </w:p>
    <w:p w:rsidR="008510CE" w:rsidRDefault="008510CE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iCs/>
          <w:szCs w:val="28"/>
        </w:rPr>
      </w:pPr>
    </w:p>
    <w:p w:rsidR="008510CE" w:rsidRDefault="00A03F9A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  <w:r w:rsidRPr="00781C9B">
        <w:rPr>
          <w:rFonts w:cs="Arial"/>
          <w:b/>
          <w:bCs/>
          <w:caps/>
          <w:kern w:val="32"/>
          <w:szCs w:val="32"/>
        </w:rPr>
        <w:t>8.</w:t>
      </w:r>
      <w:r w:rsidRPr="00781C9B">
        <w:rPr>
          <w:rFonts w:cs="Arial"/>
          <w:b/>
          <w:bCs/>
          <w:caps/>
          <w:kern w:val="32"/>
          <w:szCs w:val="32"/>
        </w:rPr>
        <w:tab/>
        <w:t xml:space="preserve">Termín A ZPŮSOB pro podání </w:t>
      </w:r>
      <w:r w:rsidRPr="00781C9B">
        <w:rPr>
          <w:rFonts w:cs="Arial"/>
          <w:b/>
          <w:bCs/>
          <w:caps/>
          <w:kern w:val="32"/>
          <w:szCs w:val="32"/>
        </w:rPr>
        <w:t>nabídek</w:t>
      </w:r>
    </w:p>
    <w:p w:rsidR="001C116B" w:rsidRPr="00781C9B" w:rsidRDefault="001C116B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</w:p>
    <w:p w:rsidR="008510CE" w:rsidRPr="00781C9B" w:rsidRDefault="00A03F9A" w:rsidP="008510CE">
      <w:pPr>
        <w:keepNext/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bookmarkStart w:id="7" w:name="_Toc350412612"/>
      <w:bookmarkStart w:id="8" w:name="_Toc350412613"/>
      <w:r w:rsidRPr="00781C9B">
        <w:rPr>
          <w:rFonts w:cs="Arial"/>
          <w:b/>
          <w:bCs/>
          <w:iCs/>
          <w:szCs w:val="28"/>
        </w:rPr>
        <w:t>8.1.</w:t>
      </w:r>
      <w:r w:rsidRPr="00781C9B">
        <w:rPr>
          <w:rFonts w:cs="Arial"/>
          <w:b/>
          <w:bCs/>
          <w:iCs/>
          <w:szCs w:val="28"/>
        </w:rPr>
        <w:tab/>
        <w:t>Lhůta a způsob pro podání nabídek</w:t>
      </w:r>
      <w:bookmarkEnd w:id="7"/>
    </w:p>
    <w:p w:rsidR="008510CE" w:rsidRPr="00781C9B" w:rsidRDefault="00A03F9A" w:rsidP="008510CE">
      <w:pPr>
        <w:widowControl w:val="0"/>
        <w:jc w:val="left"/>
      </w:pPr>
      <w:r w:rsidRPr="00781C9B">
        <w:t>Nabídky musí být podány nejpozději do 16.3.2020 08.00. Podáním nabídky se rozumí doručení nabídky zadavateli. Za včasné doručení odpovídá dodavatel.</w:t>
      </w:r>
    </w:p>
    <w:p w:rsidR="008510CE" w:rsidRPr="00781C9B" w:rsidRDefault="008510CE" w:rsidP="008510CE">
      <w:pPr>
        <w:widowControl w:val="0"/>
        <w:jc w:val="left"/>
      </w:pPr>
    </w:p>
    <w:p w:rsidR="008510CE" w:rsidRPr="00781C9B" w:rsidRDefault="00A03F9A" w:rsidP="008510CE">
      <w:pPr>
        <w:widowControl w:val="0"/>
        <w:jc w:val="left"/>
      </w:pPr>
      <w:r w:rsidRPr="00781C9B">
        <w:t>Nabídky se podávají elektronicky prostřednictvím Národního</w:t>
      </w:r>
      <w:r w:rsidRPr="00781C9B">
        <w:t xml:space="preserve"> elektronického nástroje ve strukturované podobě nastavené v Národním elektronickém nástroji.</w:t>
      </w:r>
    </w:p>
    <w:p w:rsidR="008510CE" w:rsidRPr="00781C9B" w:rsidRDefault="008510CE" w:rsidP="008510CE">
      <w:pPr>
        <w:widowControl w:val="0"/>
        <w:jc w:val="left"/>
      </w:pPr>
    </w:p>
    <w:p w:rsidR="008510CE" w:rsidRPr="00781C9B" w:rsidRDefault="00A03F9A" w:rsidP="008510CE">
      <w:pPr>
        <w:widowControl w:val="0"/>
        <w:jc w:val="left"/>
      </w:pPr>
      <w:r w:rsidRPr="00781C9B">
        <w:t>Nabídka musí být podána nejpozději do konce lhůty pro podání nabídek stanovené výše.</w:t>
      </w:r>
    </w:p>
    <w:p w:rsidR="008510CE" w:rsidRPr="00781C9B" w:rsidRDefault="008510CE" w:rsidP="008510CE">
      <w:pPr>
        <w:widowControl w:val="0"/>
        <w:jc w:val="left"/>
      </w:pPr>
    </w:p>
    <w:p w:rsidR="004B36B1" w:rsidRPr="00BC3F0A" w:rsidRDefault="00A03F9A" w:rsidP="004B36B1">
      <w:pPr>
        <w:jc w:val="left"/>
      </w:pPr>
      <w:r w:rsidRPr="00DF025E">
        <w:rPr>
          <w:color w:val="1F497D"/>
          <w:sz w:val="22"/>
          <w:szCs w:val="22"/>
        </w:rPr>
        <w:t xml:space="preserve"> </w:t>
      </w:r>
      <w:r>
        <w:t>N</w:t>
      </w:r>
      <w:r w:rsidRPr="008767EB">
        <w:t>abídku je dodavatel povinen podat</w:t>
      </w:r>
      <w:r w:rsidRPr="0095011C">
        <w:t> </w:t>
      </w:r>
      <w:r w:rsidRPr="009D0508">
        <w:t>v </w:t>
      </w:r>
      <w:r w:rsidRPr="008767EB">
        <w:t>češtině</w:t>
      </w:r>
      <w:r w:rsidRPr="00DF025E">
        <w:t xml:space="preserve"> </w:t>
      </w:r>
      <w:r w:rsidRPr="00E21605">
        <w:t>v</w:t>
      </w:r>
      <w:r>
        <w:t> </w:t>
      </w:r>
      <w:r w:rsidRPr="00E21605">
        <w:t>souladu se zadávacími podm</w:t>
      </w:r>
      <w:r w:rsidRPr="00E21605">
        <w:t>ínkami.</w:t>
      </w:r>
      <w:r>
        <w:t xml:space="preserve"> </w:t>
      </w:r>
    </w:p>
    <w:p w:rsidR="003D2469" w:rsidRPr="004B36B1" w:rsidRDefault="003D2469" w:rsidP="004B36B1"/>
    <w:p w:rsidR="008510CE" w:rsidRPr="00781C9B" w:rsidRDefault="00A03F9A" w:rsidP="008510CE">
      <w:pPr>
        <w:widowControl w:val="0"/>
        <w:rPr>
          <w:bCs/>
        </w:rPr>
      </w:pPr>
      <w:r w:rsidRPr="00781C9B">
        <w:rPr>
          <w:bCs/>
        </w:rPr>
        <w:t xml:space="preserve">Dodavatel není oprávněn podmínit jím v nabídce uvedené údaje, které jsou předmětem hodnocení nabídky, další podmínkou. Podmínění nebo uvedení několika rozdílných hodnot v nabídce je důvodem pro vyloučení dodavatele ze zadávacího řízení. Obdobně </w:t>
      </w:r>
      <w:r w:rsidRPr="00781C9B">
        <w:rPr>
          <w:bCs/>
        </w:rPr>
        <w:t>bude zadavatel postupovat v případě, že dojde k uvedení údajů, které jsou předmětem hodnocení nabídky, v jiné veličině či formě než zadavatel požadoval.</w:t>
      </w:r>
    </w:p>
    <w:p w:rsidR="008510CE" w:rsidRPr="00781C9B" w:rsidRDefault="008510CE" w:rsidP="008510CE"/>
    <w:p w:rsidR="008510CE" w:rsidRDefault="00A03F9A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  <w:bookmarkStart w:id="9" w:name="_Toc350412614"/>
      <w:bookmarkEnd w:id="8"/>
      <w:r w:rsidRPr="00781C9B">
        <w:rPr>
          <w:rFonts w:cs="Arial"/>
          <w:b/>
          <w:bCs/>
          <w:caps/>
          <w:kern w:val="32"/>
          <w:szCs w:val="32"/>
        </w:rPr>
        <w:t>9.</w:t>
      </w:r>
      <w:r w:rsidRPr="00781C9B">
        <w:rPr>
          <w:rFonts w:cs="Arial"/>
          <w:b/>
          <w:bCs/>
          <w:caps/>
          <w:kern w:val="32"/>
          <w:szCs w:val="32"/>
        </w:rPr>
        <w:tab/>
        <w:t>Otevírání nabídek</w:t>
      </w:r>
      <w:bookmarkEnd w:id="9"/>
    </w:p>
    <w:p w:rsidR="00D52750" w:rsidRPr="00781C9B" w:rsidRDefault="00D52750" w:rsidP="008510CE">
      <w:pPr>
        <w:keepNext/>
        <w:spacing w:before="240" w:after="360"/>
        <w:contextualSpacing/>
        <w:jc w:val="left"/>
        <w:outlineLvl w:val="0"/>
        <w:rPr>
          <w:rFonts w:cs="Arial"/>
          <w:b/>
          <w:bCs/>
          <w:caps/>
          <w:kern w:val="32"/>
          <w:szCs w:val="32"/>
        </w:rPr>
      </w:pPr>
    </w:p>
    <w:p w:rsidR="008510CE" w:rsidRPr="00D52750" w:rsidRDefault="00A03F9A" w:rsidP="00D52750">
      <w:r w:rsidRPr="007D2AAC">
        <w:t>Otevírání nabídek nebude veřejné.</w:t>
      </w:r>
    </w:p>
    <w:p w:rsidR="008510CE" w:rsidRDefault="00A03F9A" w:rsidP="008510CE">
      <w:pPr>
        <w:pStyle w:val="Nadpis1"/>
      </w:pPr>
      <w:bookmarkStart w:id="10" w:name="_Toc350412615"/>
      <w:r w:rsidRPr="00D52F79">
        <w:t>10.</w:t>
      </w:r>
      <w:r w:rsidRPr="00781C9B">
        <w:tab/>
        <w:t>Zadání veřejné zakázky</w:t>
      </w:r>
      <w:bookmarkEnd w:id="10"/>
    </w:p>
    <w:p w:rsidR="008510CE" w:rsidRPr="00781C9B" w:rsidRDefault="00A03F9A" w:rsidP="008510CE">
      <w:r w:rsidRPr="00781C9B">
        <w:t xml:space="preserve">Vybraný </w:t>
      </w:r>
      <w:r w:rsidRPr="00781C9B">
        <w:t>dodavatel je povinen před uzavřením smlouvy</w:t>
      </w:r>
    </w:p>
    <w:p w:rsidR="008510CE" w:rsidRPr="00781C9B" w:rsidRDefault="008510CE" w:rsidP="008510CE"/>
    <w:p w:rsidR="008510CE" w:rsidRPr="006A6BE2" w:rsidRDefault="00A03F9A" w:rsidP="008510CE">
      <w:pPr>
        <w:jc w:val="left"/>
        <w:rPr>
          <w:szCs w:val="22"/>
        </w:rPr>
      </w:pPr>
      <w:r w:rsidRPr="00E0587C">
        <w:rPr>
          <w:szCs w:val="22"/>
        </w:rPr>
        <w:t>Zadavatel v souladu s ustanovením § 40 ZZVZ stanoví zadávací lhůtu, a to až do</w:t>
      </w:r>
      <w:r>
        <w:rPr>
          <w:szCs w:val="22"/>
        </w:rPr>
        <w:t xml:space="preserve"> </w:t>
      </w:r>
      <w:r w:rsidRPr="00E0399E">
        <w:t>31.3.2020</w:t>
      </w:r>
      <w:r w:rsidRPr="00E0587C">
        <w:rPr>
          <w:szCs w:val="22"/>
        </w:rPr>
        <w:t>. Zadávací lhůtou se rozumí lhůta, po kterou účastníci zadávacího řízení nesmí odstoupit ze zadávacího řízení. Počátkem z</w:t>
      </w:r>
      <w:r w:rsidRPr="00E0587C">
        <w:rPr>
          <w:szCs w:val="22"/>
        </w:rPr>
        <w:t>adávací lhůty je konec lhůty pro podání nabídek.</w:t>
      </w:r>
    </w:p>
    <w:p w:rsidR="008510CE" w:rsidRPr="00A03F9A" w:rsidRDefault="00A03F9A" w:rsidP="00A03F9A">
      <w:pPr>
        <w:jc w:val="left"/>
        <w:rPr>
          <w:b/>
        </w:rPr>
      </w:pPr>
      <w:r w:rsidRPr="00A03F9A">
        <w:rPr>
          <w:b/>
          <w:sz w:val="22"/>
          <w:szCs w:val="22"/>
        </w:rPr>
        <w:t xml:space="preserve"> </w:t>
      </w:r>
      <w:r w:rsidRPr="00A03F9A">
        <w:rPr>
          <w:b/>
        </w:rPr>
        <w:t>11.</w:t>
      </w:r>
      <w:r w:rsidRPr="00A03F9A">
        <w:rPr>
          <w:b/>
        </w:rPr>
        <w:tab/>
        <w:t xml:space="preserve">Další informace K ZADÁVACÍMU ŘÍZENÍ </w:t>
      </w:r>
    </w:p>
    <w:p w:rsidR="00BA1268" w:rsidRDefault="00A03F9A" w:rsidP="00BA1268">
      <w:pPr>
        <w:jc w:val="left"/>
        <w:rPr>
          <w:bCs/>
        </w:rPr>
      </w:pPr>
      <w:bookmarkStart w:id="11" w:name="_Toc350412622"/>
      <w:r>
        <w:rPr>
          <w:bCs/>
        </w:rPr>
        <w:t xml:space="preserve"> </w:t>
      </w:r>
    </w:p>
    <w:p w:rsidR="008510CE" w:rsidRPr="00781C9B" w:rsidRDefault="00A03F9A" w:rsidP="006D5949">
      <w:pPr>
        <w:widowControl w:val="0"/>
        <w:jc w:val="left"/>
        <w:rPr>
          <w:rFonts w:cs="Arial"/>
          <w:b/>
          <w:bCs/>
          <w:iCs/>
          <w:szCs w:val="28"/>
        </w:rPr>
      </w:pPr>
      <w:r w:rsidRPr="00781C9B">
        <w:rPr>
          <w:rFonts w:cs="Arial"/>
          <w:b/>
          <w:bCs/>
          <w:iCs/>
          <w:szCs w:val="28"/>
        </w:rPr>
        <w:t>11.1.</w:t>
      </w:r>
      <w:r w:rsidRPr="00781C9B">
        <w:rPr>
          <w:rFonts w:cs="Arial"/>
          <w:b/>
          <w:bCs/>
          <w:iCs/>
          <w:szCs w:val="28"/>
        </w:rPr>
        <w:tab/>
        <w:t>Variantní řešení nabídky</w:t>
      </w:r>
      <w:bookmarkEnd w:id="11"/>
    </w:p>
    <w:p w:rsidR="008510CE" w:rsidRPr="00781C9B" w:rsidRDefault="00A03F9A" w:rsidP="008510CE">
      <w:r w:rsidRPr="00781C9B">
        <w:t>Zadavatel nepřipouští varianty nabídky.</w:t>
      </w:r>
    </w:p>
    <w:p w:rsidR="008510CE" w:rsidRPr="00781C9B" w:rsidRDefault="00A03F9A" w:rsidP="008510CE">
      <w:pPr>
        <w:keepNext/>
        <w:tabs>
          <w:tab w:val="left" w:pos="0"/>
        </w:tabs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r w:rsidRPr="00781C9B">
        <w:rPr>
          <w:rFonts w:cs="Arial"/>
          <w:b/>
          <w:bCs/>
          <w:iCs/>
          <w:szCs w:val="28"/>
        </w:rPr>
        <w:t>11.2.</w:t>
      </w:r>
      <w:r w:rsidRPr="00781C9B">
        <w:rPr>
          <w:rFonts w:cs="Arial"/>
          <w:b/>
          <w:bCs/>
          <w:iCs/>
          <w:szCs w:val="28"/>
        </w:rPr>
        <w:tab/>
        <w:t>Další povinné součásti nabídky</w:t>
      </w:r>
    </w:p>
    <w:p w:rsidR="008510CE" w:rsidRPr="00781C9B" w:rsidRDefault="008510CE" w:rsidP="008510CE">
      <w:pPr>
        <w:ind w:left="709" w:hanging="425"/>
        <w:rPr>
          <w:sz w:val="2"/>
        </w:rPr>
      </w:pPr>
    </w:p>
    <w:p w:rsidR="008510CE" w:rsidRPr="00781C9B" w:rsidRDefault="00A03F9A" w:rsidP="008510CE">
      <w:pPr>
        <w:jc w:val="left"/>
        <w:rPr>
          <w:bCs/>
        </w:rPr>
      </w:pPr>
      <w:r w:rsidRPr="00781C9B">
        <w:rPr>
          <w:bCs/>
        </w:rPr>
        <w:t xml:space="preserve">Další požadavky na nabídku: Nabídka mnusí obsahovat </w:t>
      </w:r>
      <w:r w:rsidRPr="00781C9B">
        <w:rPr>
          <w:bCs/>
        </w:rPr>
        <w:t>vyplněný, podepsaný Návrh kupní smlouvy 1572/66/2020-1970.</w:t>
      </w:r>
    </w:p>
    <w:p w:rsidR="008510CE" w:rsidRPr="00781C9B" w:rsidRDefault="008510CE" w:rsidP="008510CE">
      <w:pPr>
        <w:numPr>
          <w:ilvl w:val="2"/>
          <w:numId w:val="0"/>
        </w:numPr>
        <w:jc w:val="left"/>
        <w:rPr>
          <w:color w:val="E36C0A"/>
          <w:kern w:val="32"/>
          <w:sz w:val="2"/>
          <w:szCs w:val="32"/>
          <w:u w:val="single"/>
        </w:rPr>
      </w:pPr>
    </w:p>
    <w:p w:rsidR="008510CE" w:rsidRPr="00781C9B" w:rsidRDefault="00A03F9A" w:rsidP="008510CE">
      <w:pPr>
        <w:keepNext/>
        <w:tabs>
          <w:tab w:val="left" w:pos="0"/>
        </w:tabs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bookmarkStart w:id="12" w:name="_Toc350412629"/>
      <w:r w:rsidRPr="00781C9B">
        <w:rPr>
          <w:rFonts w:cs="Arial"/>
          <w:b/>
          <w:bCs/>
          <w:iCs/>
          <w:szCs w:val="28"/>
        </w:rPr>
        <w:t>11.3.</w:t>
      </w:r>
      <w:r w:rsidRPr="00781C9B">
        <w:rPr>
          <w:rFonts w:cs="Arial"/>
          <w:b/>
          <w:bCs/>
          <w:iCs/>
          <w:szCs w:val="28"/>
        </w:rPr>
        <w:tab/>
        <w:t>Další informace technické povahy</w:t>
      </w:r>
      <w:bookmarkEnd w:id="12"/>
    </w:p>
    <w:p w:rsidR="008510CE" w:rsidRPr="00781C9B" w:rsidRDefault="00A03F9A" w:rsidP="008510CE">
      <w:pPr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</w:t>
      </w:r>
      <w:r w:rsidRPr="00781C9B">
        <w:rPr>
          <w:bCs/>
        </w:rPr>
        <w:t xml:space="preserve"> nástroje.</w:t>
      </w:r>
    </w:p>
    <w:p w:rsidR="008510CE" w:rsidRPr="00781C9B" w:rsidRDefault="00A03F9A" w:rsidP="006D5949">
      <w:pPr>
        <w:rPr>
          <w:b/>
          <w:bCs/>
          <w:iCs/>
        </w:rPr>
      </w:pPr>
      <w:r w:rsidRPr="00781C9B">
        <w:rPr>
          <w:b/>
          <w:bCs/>
          <w:iCs/>
        </w:rPr>
        <w:t>11.4.</w:t>
      </w:r>
      <w:r w:rsidRPr="00781C9B">
        <w:rPr>
          <w:b/>
          <w:bCs/>
          <w:iCs/>
        </w:rPr>
        <w:tab/>
        <w:t>Vysvětlení zadávací dokumentace</w:t>
      </w:r>
    </w:p>
    <w:p w:rsidR="008510CE" w:rsidRPr="00781C9B" w:rsidRDefault="00A03F9A" w:rsidP="008510CE">
      <w:r w:rsidRPr="00781C9B">
        <w:t>Dodavatel je oprávněn v souladu s § 98 odst. 3 ZZVZ po zadavateli písemně požadovat vysvětlení zadávací dokumentace. Zadavatel vysvětlení uveřejní, odešle nebo předá včetně přesného znění žádosti bez identif</w:t>
      </w:r>
      <w:r w:rsidRPr="00781C9B">
        <w:t>ikace dodavatele požadujícího vysvětlení. Zadavatel není povinen vysvětlení poskytnout, pokud není žádost o vysvětlení doručena včas, a to alespoň 3 pracovní dny před uplynutím lhůt podle § 98 odst. 1 ZZVZ.</w:t>
      </w:r>
    </w:p>
    <w:p w:rsidR="008510CE" w:rsidRPr="00781C9B" w:rsidRDefault="00A03F9A" w:rsidP="008510CE">
      <w:pPr>
        <w:keepNext/>
        <w:tabs>
          <w:tab w:val="left" w:pos="0"/>
        </w:tabs>
        <w:spacing w:before="360" w:after="240"/>
        <w:jc w:val="left"/>
        <w:outlineLvl w:val="1"/>
        <w:rPr>
          <w:rFonts w:cs="Arial"/>
          <w:b/>
          <w:bCs/>
          <w:iCs/>
          <w:szCs w:val="28"/>
        </w:rPr>
      </w:pPr>
      <w:bookmarkStart w:id="13" w:name="_Toc350341007"/>
      <w:bookmarkStart w:id="14" w:name="_Toc350341157"/>
      <w:bookmarkStart w:id="15" w:name="_Toc350341008"/>
      <w:bookmarkStart w:id="16" w:name="_Toc350341158"/>
      <w:bookmarkStart w:id="17" w:name="_Toc350341010"/>
      <w:bookmarkStart w:id="18" w:name="_Toc350341160"/>
      <w:bookmarkStart w:id="19" w:name="_Toc350341011"/>
      <w:bookmarkStart w:id="20" w:name="_Toc350341161"/>
      <w:bookmarkStart w:id="21" w:name="_Toc350341012"/>
      <w:bookmarkStart w:id="22" w:name="_Toc350341162"/>
      <w:bookmarkStart w:id="23" w:name="_Toc350341013"/>
      <w:bookmarkStart w:id="24" w:name="_Toc350341163"/>
      <w:bookmarkStart w:id="25" w:name="_Toc350341014"/>
      <w:bookmarkStart w:id="26" w:name="_Toc350341164"/>
      <w:bookmarkStart w:id="27" w:name="_Toc350341015"/>
      <w:bookmarkStart w:id="28" w:name="_Toc350341165"/>
      <w:bookmarkStart w:id="29" w:name="_Toc350341016"/>
      <w:bookmarkStart w:id="30" w:name="_Toc350341166"/>
      <w:bookmarkStart w:id="31" w:name="_Toc350341018"/>
      <w:bookmarkStart w:id="32" w:name="_Toc350341168"/>
      <w:bookmarkStart w:id="33" w:name="_Toc350341019"/>
      <w:bookmarkStart w:id="34" w:name="_Toc350341169"/>
      <w:bookmarkStart w:id="35" w:name="_Toc35041263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781C9B">
        <w:rPr>
          <w:rFonts w:cs="Arial"/>
          <w:b/>
          <w:bCs/>
          <w:iCs/>
          <w:szCs w:val="28"/>
        </w:rPr>
        <w:t>11.5.</w:t>
      </w:r>
      <w:r w:rsidRPr="00781C9B">
        <w:rPr>
          <w:rFonts w:cs="Arial"/>
          <w:b/>
          <w:bCs/>
          <w:iCs/>
          <w:szCs w:val="28"/>
        </w:rPr>
        <w:tab/>
        <w:t>Zadavatel si vyhrazuje právo</w:t>
      </w:r>
      <w:bookmarkEnd w:id="35"/>
    </w:p>
    <w:p w:rsidR="008510CE" w:rsidRPr="00781C9B" w:rsidRDefault="00A03F9A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</w:t>
      </w:r>
      <w:r w:rsidRPr="00781C9B">
        <w:rPr>
          <w:rFonts w:eastAsia="MS Mincho"/>
        </w:rPr>
        <w:t>ěnit, doplnit nebo upřesnit podmínky této zadávací dokumentace během trvání lhůty pro podání nabídek;</w:t>
      </w:r>
    </w:p>
    <w:p w:rsidR="008510CE" w:rsidRPr="00781C9B" w:rsidRDefault="00A03F9A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kdykoli zrušit zadávací řízení bez uvedení důvodu;</w:t>
      </w:r>
    </w:p>
    <w:p w:rsidR="008510CE" w:rsidRPr="00781C9B" w:rsidRDefault="00A03F9A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informace v průběhu zadávacího řízení;</w:t>
      </w:r>
    </w:p>
    <w:p w:rsidR="008510CE" w:rsidRPr="00781C9B" w:rsidRDefault="00A03F9A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</w:t>
      </w:r>
      <w:r w:rsidRPr="00781C9B">
        <w:rPr>
          <w:rFonts w:eastAsia="MS Mincho"/>
        </w:rPr>
        <w:t xml:space="preserve">   • neuzavřít smlouvu s dodavatelem;</w:t>
      </w:r>
    </w:p>
    <w:p w:rsidR="008510CE" w:rsidRPr="00781C9B" w:rsidRDefault="00A03F9A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8510CE" w:rsidRPr="00781C9B" w:rsidRDefault="00A03F9A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RDefault="00A03F9A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</w:t>
      </w:r>
      <w:r w:rsidRPr="00781C9B">
        <w:t>ru nejvhodnější nabídky na profilu zadavatele;</w:t>
      </w:r>
    </w:p>
    <w:p w:rsidR="008510CE" w:rsidRPr="00781C9B" w:rsidRDefault="00A03F9A" w:rsidP="008510CE">
      <w:r w:rsidRPr="00781C9B">
        <w:t>Veškeré náklady spojené s vypracováním nabídky a účastí dodavatele v zadávacím řízení jdou k tíži dodavatele.</w:t>
      </w:r>
    </w:p>
    <w:p w:rsidR="008379B0" w:rsidRPr="00F82D77" w:rsidRDefault="00A03F9A" w:rsidP="008379B0">
      <w:pPr>
        <w:keepNext/>
        <w:jc w:val="left"/>
        <w:rPr>
          <w:bCs/>
          <w:color w:val="548DD4" w:themeColor="text2" w:themeTint="99"/>
          <w:sz w:val="18"/>
        </w:rPr>
      </w:pPr>
      <w:r w:rsidRPr="00F82D77">
        <w:t>4.3.2020</w:t>
      </w:r>
    </w:p>
    <w:p w:rsidR="008379B0" w:rsidRPr="00F82D77" w:rsidRDefault="00A03F9A" w:rsidP="009C411D">
      <w:pPr>
        <w:keepNext/>
        <w:jc w:val="left"/>
        <w:rPr>
          <w:b/>
        </w:rPr>
      </w:pPr>
      <w:r w:rsidRPr="00F82D77">
        <w:rPr>
          <w:b/>
        </w:rPr>
        <w:t xml:space="preserve"> </w:t>
      </w:r>
    </w:p>
    <w:p w:rsidR="008379B0" w:rsidRPr="00F82D77" w:rsidRDefault="00A03F9A" w:rsidP="003E0388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Eva</w:t>
      </w:r>
      <w:r w:rsidRPr="00F82D77">
        <w:rPr>
          <w:bCs/>
        </w:rPr>
        <w:t xml:space="preserve"> </w:t>
      </w:r>
      <w:r w:rsidRPr="00F82D77">
        <w:t>Vávrová</w:t>
      </w:r>
      <w:r w:rsidRPr="00F82D77">
        <w:rPr>
          <w:bCs/>
        </w:rPr>
        <w:t>, Velitelství výcviku - Vojenská akademie Vyškov/</w:t>
      </w:r>
      <w:r w:rsidRPr="00F82D77">
        <w:rPr>
          <w:bCs/>
        </w:rPr>
        <w:t>197000</w:t>
      </w:r>
    </w:p>
    <w:p w:rsidR="008510CE" w:rsidRDefault="008510CE" w:rsidP="008510CE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  <w:bookmarkStart w:id="36" w:name="_GoBack"/>
      <w:bookmarkEnd w:id="36"/>
    </w:p>
    <w:p w:rsidR="008510CE" w:rsidRDefault="008510CE" w:rsidP="008510CE">
      <w:pPr>
        <w:widowControl w:val="0"/>
        <w:ind w:right="-108"/>
        <w:jc w:val="left"/>
        <w:rPr>
          <w:rFonts w:cs="Arial"/>
          <w:b/>
          <w:bCs/>
          <w:caps/>
          <w:kern w:val="32"/>
          <w:szCs w:val="32"/>
        </w:rPr>
      </w:pPr>
    </w:p>
    <w:sectPr w:rsidR="008510CE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3F9A">
      <w:r>
        <w:separator/>
      </w:r>
    </w:p>
  </w:endnote>
  <w:endnote w:type="continuationSeparator" w:id="0">
    <w:p w:rsidR="00000000" w:rsidRDefault="00A0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8" w:rsidRPr="00E234AE" w:rsidRDefault="00346EE8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:rsidR="00346EE8" w:rsidRPr="00E21605" w:rsidRDefault="00A03F9A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>
      <w:rPr>
        <w:noProof/>
        <w:sz w:val="22"/>
        <w:szCs w:val="20"/>
      </w:rPr>
      <w:t>6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>
      <w:rPr>
        <w:noProof/>
        <w:sz w:val="22"/>
        <w:szCs w:val="20"/>
      </w:rPr>
      <w:t>6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3F9A">
      <w:r>
        <w:separator/>
      </w:r>
    </w:p>
  </w:footnote>
  <w:footnote w:type="continuationSeparator" w:id="0">
    <w:p w:rsidR="00000000" w:rsidRDefault="00A0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8" w:rsidRPr="00553445" w:rsidRDefault="00A03F9A" w:rsidP="008510CE">
    <w:pPr>
      <w:pStyle w:val="Zhlav"/>
      <w:jc w:val="center"/>
      <w:rPr>
        <w:bCs/>
        <w:color w:val="1F497D"/>
        <w:sz w:val="14"/>
        <w:szCs w:val="32"/>
      </w:rPr>
    </w:pPr>
    <w:r w:rsidRPr="00553445">
      <w:rPr>
        <w:bCs/>
        <w:noProof/>
        <w:color w:val="1F497D"/>
        <w:sz w:val="14"/>
        <w:szCs w:val="32"/>
      </w:rPr>
      <w:drawing>
        <wp:inline distT="0" distB="0" distL="0" distR="0">
          <wp:extent cx="12700" cy="12700"/>
          <wp:effectExtent l="0" t="0" r="0" b="0"/>
          <wp:docPr id="100001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280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9FB00BA"/>
    <w:multiLevelType w:val="hybridMultilevel"/>
    <w:tmpl w:val="2924CE7E"/>
    <w:lvl w:ilvl="0" w:tplc="902EC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8202A8" w:tentative="1">
      <w:start w:val="1"/>
      <w:numFmt w:val="lowerLetter"/>
      <w:lvlText w:val="%2."/>
      <w:lvlJc w:val="left"/>
      <w:pPr>
        <w:ind w:left="1440" w:hanging="360"/>
      </w:pPr>
    </w:lvl>
    <w:lvl w:ilvl="2" w:tplc="5F3AD2F0" w:tentative="1">
      <w:start w:val="1"/>
      <w:numFmt w:val="lowerRoman"/>
      <w:lvlText w:val="%3."/>
      <w:lvlJc w:val="right"/>
      <w:pPr>
        <w:ind w:left="2160" w:hanging="180"/>
      </w:pPr>
    </w:lvl>
    <w:lvl w:ilvl="3" w:tplc="F0EE6C8E" w:tentative="1">
      <w:start w:val="1"/>
      <w:numFmt w:val="decimal"/>
      <w:lvlText w:val="%4."/>
      <w:lvlJc w:val="left"/>
      <w:pPr>
        <w:ind w:left="2880" w:hanging="360"/>
      </w:pPr>
    </w:lvl>
    <w:lvl w:ilvl="4" w:tplc="0EC4BCEC" w:tentative="1">
      <w:start w:val="1"/>
      <w:numFmt w:val="lowerLetter"/>
      <w:lvlText w:val="%5."/>
      <w:lvlJc w:val="left"/>
      <w:pPr>
        <w:ind w:left="3600" w:hanging="360"/>
      </w:pPr>
    </w:lvl>
    <w:lvl w:ilvl="5" w:tplc="3654C494" w:tentative="1">
      <w:start w:val="1"/>
      <w:numFmt w:val="lowerRoman"/>
      <w:lvlText w:val="%6."/>
      <w:lvlJc w:val="right"/>
      <w:pPr>
        <w:ind w:left="4320" w:hanging="180"/>
      </w:pPr>
    </w:lvl>
    <w:lvl w:ilvl="6" w:tplc="D8AE4340" w:tentative="1">
      <w:start w:val="1"/>
      <w:numFmt w:val="decimal"/>
      <w:lvlText w:val="%7."/>
      <w:lvlJc w:val="left"/>
      <w:pPr>
        <w:ind w:left="5040" w:hanging="360"/>
      </w:pPr>
    </w:lvl>
    <w:lvl w:ilvl="7" w:tplc="3DE00FF2" w:tentative="1">
      <w:start w:val="1"/>
      <w:numFmt w:val="lowerLetter"/>
      <w:lvlText w:val="%8."/>
      <w:lvlJc w:val="left"/>
      <w:pPr>
        <w:ind w:left="5760" w:hanging="360"/>
      </w:pPr>
    </w:lvl>
    <w:lvl w:ilvl="8" w:tplc="F30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04E5"/>
    <w:multiLevelType w:val="hybridMultilevel"/>
    <w:tmpl w:val="C17675A8"/>
    <w:lvl w:ilvl="0" w:tplc="E0641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AA3232" w:tentative="1">
      <w:start w:val="1"/>
      <w:numFmt w:val="lowerLetter"/>
      <w:lvlText w:val="%2."/>
      <w:lvlJc w:val="left"/>
      <w:pPr>
        <w:ind w:left="1440" w:hanging="360"/>
      </w:pPr>
    </w:lvl>
    <w:lvl w:ilvl="2" w:tplc="02F4A428" w:tentative="1">
      <w:start w:val="1"/>
      <w:numFmt w:val="lowerRoman"/>
      <w:lvlText w:val="%3."/>
      <w:lvlJc w:val="right"/>
      <w:pPr>
        <w:ind w:left="2160" w:hanging="180"/>
      </w:pPr>
    </w:lvl>
    <w:lvl w:ilvl="3" w:tplc="2BC22694" w:tentative="1">
      <w:start w:val="1"/>
      <w:numFmt w:val="decimal"/>
      <w:lvlText w:val="%4."/>
      <w:lvlJc w:val="left"/>
      <w:pPr>
        <w:ind w:left="2880" w:hanging="360"/>
      </w:pPr>
    </w:lvl>
    <w:lvl w:ilvl="4" w:tplc="49CA323A" w:tentative="1">
      <w:start w:val="1"/>
      <w:numFmt w:val="lowerLetter"/>
      <w:lvlText w:val="%5."/>
      <w:lvlJc w:val="left"/>
      <w:pPr>
        <w:ind w:left="3600" w:hanging="360"/>
      </w:pPr>
    </w:lvl>
    <w:lvl w:ilvl="5" w:tplc="672ED3BC" w:tentative="1">
      <w:start w:val="1"/>
      <w:numFmt w:val="lowerRoman"/>
      <w:lvlText w:val="%6."/>
      <w:lvlJc w:val="right"/>
      <w:pPr>
        <w:ind w:left="4320" w:hanging="180"/>
      </w:pPr>
    </w:lvl>
    <w:lvl w:ilvl="6" w:tplc="8FD6886C" w:tentative="1">
      <w:start w:val="1"/>
      <w:numFmt w:val="decimal"/>
      <w:lvlText w:val="%7."/>
      <w:lvlJc w:val="left"/>
      <w:pPr>
        <w:ind w:left="5040" w:hanging="360"/>
      </w:pPr>
    </w:lvl>
    <w:lvl w:ilvl="7" w:tplc="1F0ED68A" w:tentative="1">
      <w:start w:val="1"/>
      <w:numFmt w:val="lowerLetter"/>
      <w:lvlText w:val="%8."/>
      <w:lvlJc w:val="left"/>
      <w:pPr>
        <w:ind w:left="5760" w:hanging="360"/>
      </w:pPr>
    </w:lvl>
    <w:lvl w:ilvl="8" w:tplc="F1F4A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0F0A"/>
    <w:multiLevelType w:val="hybridMultilevel"/>
    <w:tmpl w:val="C17675A8"/>
    <w:lvl w:ilvl="0" w:tplc="FF12E4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5E0A23E" w:tentative="1">
      <w:start w:val="1"/>
      <w:numFmt w:val="lowerLetter"/>
      <w:lvlText w:val="%2."/>
      <w:lvlJc w:val="left"/>
      <w:pPr>
        <w:ind w:left="1222" w:hanging="360"/>
      </w:pPr>
    </w:lvl>
    <w:lvl w:ilvl="2" w:tplc="D188D286" w:tentative="1">
      <w:start w:val="1"/>
      <w:numFmt w:val="lowerRoman"/>
      <w:lvlText w:val="%3."/>
      <w:lvlJc w:val="right"/>
      <w:pPr>
        <w:ind w:left="1942" w:hanging="180"/>
      </w:pPr>
    </w:lvl>
    <w:lvl w:ilvl="3" w:tplc="E7F2AE1A" w:tentative="1">
      <w:start w:val="1"/>
      <w:numFmt w:val="decimal"/>
      <w:lvlText w:val="%4."/>
      <w:lvlJc w:val="left"/>
      <w:pPr>
        <w:ind w:left="2662" w:hanging="360"/>
      </w:pPr>
    </w:lvl>
    <w:lvl w:ilvl="4" w:tplc="BAEA3D58" w:tentative="1">
      <w:start w:val="1"/>
      <w:numFmt w:val="lowerLetter"/>
      <w:lvlText w:val="%5."/>
      <w:lvlJc w:val="left"/>
      <w:pPr>
        <w:ind w:left="3382" w:hanging="360"/>
      </w:pPr>
    </w:lvl>
    <w:lvl w:ilvl="5" w:tplc="E428597A" w:tentative="1">
      <w:start w:val="1"/>
      <w:numFmt w:val="lowerRoman"/>
      <w:lvlText w:val="%6."/>
      <w:lvlJc w:val="right"/>
      <w:pPr>
        <w:ind w:left="4102" w:hanging="180"/>
      </w:pPr>
    </w:lvl>
    <w:lvl w:ilvl="6" w:tplc="1E8A130A" w:tentative="1">
      <w:start w:val="1"/>
      <w:numFmt w:val="decimal"/>
      <w:lvlText w:val="%7."/>
      <w:lvlJc w:val="left"/>
      <w:pPr>
        <w:ind w:left="4822" w:hanging="360"/>
      </w:pPr>
    </w:lvl>
    <w:lvl w:ilvl="7" w:tplc="EBC0C702" w:tentative="1">
      <w:start w:val="1"/>
      <w:numFmt w:val="lowerLetter"/>
      <w:lvlText w:val="%8."/>
      <w:lvlJc w:val="left"/>
      <w:pPr>
        <w:ind w:left="5542" w:hanging="360"/>
      </w:pPr>
    </w:lvl>
    <w:lvl w:ilvl="8" w:tplc="51407BB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390439"/>
    <w:multiLevelType w:val="hybridMultilevel"/>
    <w:tmpl w:val="C4B6F8B6"/>
    <w:lvl w:ilvl="0" w:tplc="F984F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8B2D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80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E8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A1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4C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2A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A5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A1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3" w15:restartNumberingAfterBreak="0">
    <w:nsid w:val="6C444030"/>
    <w:multiLevelType w:val="hybridMultilevel"/>
    <w:tmpl w:val="C0C24CF8"/>
    <w:lvl w:ilvl="0" w:tplc="C8642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D0C5B8" w:tentative="1">
      <w:start w:val="1"/>
      <w:numFmt w:val="lowerLetter"/>
      <w:lvlText w:val="%2."/>
      <w:lvlJc w:val="left"/>
      <w:pPr>
        <w:ind w:left="1440" w:hanging="360"/>
      </w:pPr>
    </w:lvl>
    <w:lvl w:ilvl="2" w:tplc="DF869676" w:tentative="1">
      <w:start w:val="1"/>
      <w:numFmt w:val="lowerRoman"/>
      <w:lvlText w:val="%3."/>
      <w:lvlJc w:val="right"/>
      <w:pPr>
        <w:ind w:left="2160" w:hanging="180"/>
      </w:pPr>
    </w:lvl>
    <w:lvl w:ilvl="3" w:tplc="D8B67CC4" w:tentative="1">
      <w:start w:val="1"/>
      <w:numFmt w:val="decimal"/>
      <w:lvlText w:val="%4."/>
      <w:lvlJc w:val="left"/>
      <w:pPr>
        <w:ind w:left="2880" w:hanging="360"/>
      </w:pPr>
    </w:lvl>
    <w:lvl w:ilvl="4" w:tplc="063EC36A" w:tentative="1">
      <w:start w:val="1"/>
      <w:numFmt w:val="lowerLetter"/>
      <w:lvlText w:val="%5."/>
      <w:lvlJc w:val="left"/>
      <w:pPr>
        <w:ind w:left="3600" w:hanging="360"/>
      </w:pPr>
    </w:lvl>
    <w:lvl w:ilvl="5" w:tplc="523C55CA" w:tentative="1">
      <w:start w:val="1"/>
      <w:numFmt w:val="lowerRoman"/>
      <w:lvlText w:val="%6."/>
      <w:lvlJc w:val="right"/>
      <w:pPr>
        <w:ind w:left="4320" w:hanging="180"/>
      </w:pPr>
    </w:lvl>
    <w:lvl w:ilvl="6" w:tplc="83A85CA8" w:tentative="1">
      <w:start w:val="1"/>
      <w:numFmt w:val="decimal"/>
      <w:lvlText w:val="%7."/>
      <w:lvlJc w:val="left"/>
      <w:pPr>
        <w:ind w:left="5040" w:hanging="360"/>
      </w:pPr>
    </w:lvl>
    <w:lvl w:ilvl="7" w:tplc="12B86B26" w:tentative="1">
      <w:start w:val="1"/>
      <w:numFmt w:val="lowerLetter"/>
      <w:lvlText w:val="%8."/>
      <w:lvlJc w:val="left"/>
      <w:pPr>
        <w:ind w:left="5760" w:hanging="360"/>
      </w:pPr>
    </w:lvl>
    <w:lvl w:ilvl="8" w:tplc="08B8D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16449"/>
    <w:multiLevelType w:val="hybridMultilevel"/>
    <w:tmpl w:val="83200B4A"/>
    <w:lvl w:ilvl="0" w:tplc="7C5667A0">
      <w:start w:val="1"/>
      <w:numFmt w:val="lowerLetter"/>
      <w:lvlText w:val="%1)"/>
      <w:lvlJc w:val="left"/>
      <w:pPr>
        <w:ind w:left="720" w:hanging="360"/>
      </w:pPr>
    </w:lvl>
    <w:lvl w:ilvl="1" w:tplc="FDB242F0" w:tentative="1">
      <w:start w:val="1"/>
      <w:numFmt w:val="lowerLetter"/>
      <w:lvlText w:val="%2."/>
      <w:lvlJc w:val="left"/>
      <w:pPr>
        <w:ind w:left="1440" w:hanging="360"/>
      </w:pPr>
    </w:lvl>
    <w:lvl w:ilvl="2" w:tplc="563EE302" w:tentative="1">
      <w:start w:val="1"/>
      <w:numFmt w:val="lowerRoman"/>
      <w:lvlText w:val="%3."/>
      <w:lvlJc w:val="right"/>
      <w:pPr>
        <w:ind w:left="2160" w:hanging="180"/>
      </w:pPr>
    </w:lvl>
    <w:lvl w:ilvl="3" w:tplc="5E845E8E" w:tentative="1">
      <w:start w:val="1"/>
      <w:numFmt w:val="decimal"/>
      <w:lvlText w:val="%4."/>
      <w:lvlJc w:val="left"/>
      <w:pPr>
        <w:ind w:left="2880" w:hanging="360"/>
      </w:pPr>
    </w:lvl>
    <w:lvl w:ilvl="4" w:tplc="FD66CF16" w:tentative="1">
      <w:start w:val="1"/>
      <w:numFmt w:val="lowerLetter"/>
      <w:lvlText w:val="%5."/>
      <w:lvlJc w:val="left"/>
      <w:pPr>
        <w:ind w:left="3600" w:hanging="360"/>
      </w:pPr>
    </w:lvl>
    <w:lvl w:ilvl="5" w:tplc="1A36141E" w:tentative="1">
      <w:start w:val="1"/>
      <w:numFmt w:val="lowerRoman"/>
      <w:lvlText w:val="%6."/>
      <w:lvlJc w:val="right"/>
      <w:pPr>
        <w:ind w:left="4320" w:hanging="180"/>
      </w:pPr>
    </w:lvl>
    <w:lvl w:ilvl="6" w:tplc="18364790" w:tentative="1">
      <w:start w:val="1"/>
      <w:numFmt w:val="decimal"/>
      <w:lvlText w:val="%7."/>
      <w:lvlJc w:val="left"/>
      <w:pPr>
        <w:ind w:left="5040" w:hanging="360"/>
      </w:pPr>
    </w:lvl>
    <w:lvl w:ilvl="7" w:tplc="D146FCCA" w:tentative="1">
      <w:start w:val="1"/>
      <w:numFmt w:val="lowerLetter"/>
      <w:lvlText w:val="%8."/>
      <w:lvlJc w:val="left"/>
      <w:pPr>
        <w:ind w:left="5760" w:hanging="360"/>
      </w:pPr>
    </w:lvl>
    <w:lvl w:ilvl="8" w:tplc="8AC4F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26069"/>
    <w:multiLevelType w:val="hybridMultilevel"/>
    <w:tmpl w:val="2924CE7E"/>
    <w:lvl w:ilvl="0" w:tplc="FEF24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F2418E" w:tentative="1">
      <w:start w:val="1"/>
      <w:numFmt w:val="lowerLetter"/>
      <w:lvlText w:val="%2."/>
      <w:lvlJc w:val="left"/>
      <w:pPr>
        <w:ind w:left="1440" w:hanging="360"/>
      </w:pPr>
    </w:lvl>
    <w:lvl w:ilvl="2" w:tplc="5A306EE4" w:tentative="1">
      <w:start w:val="1"/>
      <w:numFmt w:val="lowerRoman"/>
      <w:lvlText w:val="%3."/>
      <w:lvlJc w:val="right"/>
      <w:pPr>
        <w:ind w:left="2160" w:hanging="180"/>
      </w:pPr>
    </w:lvl>
    <w:lvl w:ilvl="3" w:tplc="A7B2E7AE" w:tentative="1">
      <w:start w:val="1"/>
      <w:numFmt w:val="decimal"/>
      <w:lvlText w:val="%4."/>
      <w:lvlJc w:val="left"/>
      <w:pPr>
        <w:ind w:left="2880" w:hanging="360"/>
      </w:pPr>
    </w:lvl>
    <w:lvl w:ilvl="4" w:tplc="9440BF58" w:tentative="1">
      <w:start w:val="1"/>
      <w:numFmt w:val="lowerLetter"/>
      <w:lvlText w:val="%5."/>
      <w:lvlJc w:val="left"/>
      <w:pPr>
        <w:ind w:left="3600" w:hanging="360"/>
      </w:pPr>
    </w:lvl>
    <w:lvl w:ilvl="5" w:tplc="1DEA1E58" w:tentative="1">
      <w:start w:val="1"/>
      <w:numFmt w:val="lowerRoman"/>
      <w:lvlText w:val="%6."/>
      <w:lvlJc w:val="right"/>
      <w:pPr>
        <w:ind w:left="4320" w:hanging="180"/>
      </w:pPr>
    </w:lvl>
    <w:lvl w:ilvl="6" w:tplc="6C322B92" w:tentative="1">
      <w:start w:val="1"/>
      <w:numFmt w:val="decimal"/>
      <w:lvlText w:val="%7."/>
      <w:lvlJc w:val="left"/>
      <w:pPr>
        <w:ind w:left="5040" w:hanging="360"/>
      </w:pPr>
    </w:lvl>
    <w:lvl w:ilvl="7" w:tplc="E50215E0" w:tentative="1">
      <w:start w:val="1"/>
      <w:numFmt w:val="lowerLetter"/>
      <w:lvlText w:val="%8."/>
      <w:lvlJc w:val="left"/>
      <w:pPr>
        <w:ind w:left="5760" w:hanging="360"/>
      </w:pPr>
    </w:lvl>
    <w:lvl w:ilvl="8" w:tplc="919ED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35521"/>
    <w:multiLevelType w:val="hybridMultilevel"/>
    <w:tmpl w:val="F6AE24EA"/>
    <w:lvl w:ilvl="0" w:tplc="F69C79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52B354" w:tentative="1">
      <w:start w:val="1"/>
      <w:numFmt w:val="lowerLetter"/>
      <w:lvlText w:val="%2."/>
      <w:lvlJc w:val="left"/>
      <w:pPr>
        <w:ind w:left="1440" w:hanging="360"/>
      </w:pPr>
    </w:lvl>
    <w:lvl w:ilvl="2" w:tplc="54640C82" w:tentative="1">
      <w:start w:val="1"/>
      <w:numFmt w:val="lowerRoman"/>
      <w:lvlText w:val="%3."/>
      <w:lvlJc w:val="right"/>
      <w:pPr>
        <w:ind w:left="2160" w:hanging="180"/>
      </w:pPr>
    </w:lvl>
    <w:lvl w:ilvl="3" w:tplc="27D802B2" w:tentative="1">
      <w:start w:val="1"/>
      <w:numFmt w:val="decimal"/>
      <w:lvlText w:val="%4."/>
      <w:lvlJc w:val="left"/>
      <w:pPr>
        <w:ind w:left="2880" w:hanging="360"/>
      </w:pPr>
    </w:lvl>
    <w:lvl w:ilvl="4" w:tplc="A27E59FE" w:tentative="1">
      <w:start w:val="1"/>
      <w:numFmt w:val="lowerLetter"/>
      <w:lvlText w:val="%5."/>
      <w:lvlJc w:val="left"/>
      <w:pPr>
        <w:ind w:left="3600" w:hanging="360"/>
      </w:pPr>
    </w:lvl>
    <w:lvl w:ilvl="5" w:tplc="DDD0069C" w:tentative="1">
      <w:start w:val="1"/>
      <w:numFmt w:val="lowerRoman"/>
      <w:lvlText w:val="%6."/>
      <w:lvlJc w:val="right"/>
      <w:pPr>
        <w:ind w:left="4320" w:hanging="180"/>
      </w:pPr>
    </w:lvl>
    <w:lvl w:ilvl="6" w:tplc="C902104C" w:tentative="1">
      <w:start w:val="1"/>
      <w:numFmt w:val="decimal"/>
      <w:lvlText w:val="%7."/>
      <w:lvlJc w:val="left"/>
      <w:pPr>
        <w:ind w:left="5040" w:hanging="360"/>
      </w:pPr>
    </w:lvl>
    <w:lvl w:ilvl="7" w:tplc="BA861BF6" w:tentative="1">
      <w:start w:val="1"/>
      <w:numFmt w:val="lowerLetter"/>
      <w:lvlText w:val="%8."/>
      <w:lvlJc w:val="left"/>
      <w:pPr>
        <w:ind w:left="5760" w:hanging="360"/>
      </w:pPr>
    </w:lvl>
    <w:lvl w:ilvl="8" w:tplc="254AE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938EB"/>
    <w:multiLevelType w:val="hybridMultilevel"/>
    <w:tmpl w:val="7B04D2F8"/>
    <w:lvl w:ilvl="0" w:tplc="B3647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C05E5A" w:tentative="1">
      <w:start w:val="1"/>
      <w:numFmt w:val="lowerLetter"/>
      <w:lvlText w:val="%2."/>
      <w:lvlJc w:val="left"/>
      <w:pPr>
        <w:ind w:left="1440" w:hanging="360"/>
      </w:pPr>
    </w:lvl>
    <w:lvl w:ilvl="2" w:tplc="FF669F16" w:tentative="1">
      <w:start w:val="1"/>
      <w:numFmt w:val="lowerRoman"/>
      <w:lvlText w:val="%3."/>
      <w:lvlJc w:val="right"/>
      <w:pPr>
        <w:ind w:left="2160" w:hanging="180"/>
      </w:pPr>
    </w:lvl>
    <w:lvl w:ilvl="3" w:tplc="81483308" w:tentative="1">
      <w:start w:val="1"/>
      <w:numFmt w:val="decimal"/>
      <w:lvlText w:val="%4."/>
      <w:lvlJc w:val="left"/>
      <w:pPr>
        <w:ind w:left="2880" w:hanging="360"/>
      </w:pPr>
    </w:lvl>
    <w:lvl w:ilvl="4" w:tplc="0C0A43F4" w:tentative="1">
      <w:start w:val="1"/>
      <w:numFmt w:val="lowerLetter"/>
      <w:lvlText w:val="%5."/>
      <w:lvlJc w:val="left"/>
      <w:pPr>
        <w:ind w:left="3600" w:hanging="360"/>
      </w:pPr>
    </w:lvl>
    <w:lvl w:ilvl="5" w:tplc="730AD2BC" w:tentative="1">
      <w:start w:val="1"/>
      <w:numFmt w:val="lowerRoman"/>
      <w:lvlText w:val="%6."/>
      <w:lvlJc w:val="right"/>
      <w:pPr>
        <w:ind w:left="4320" w:hanging="180"/>
      </w:pPr>
    </w:lvl>
    <w:lvl w:ilvl="6" w:tplc="20560F84" w:tentative="1">
      <w:start w:val="1"/>
      <w:numFmt w:val="decimal"/>
      <w:lvlText w:val="%7."/>
      <w:lvlJc w:val="left"/>
      <w:pPr>
        <w:ind w:left="5040" w:hanging="360"/>
      </w:pPr>
    </w:lvl>
    <w:lvl w:ilvl="7" w:tplc="B6649948" w:tentative="1">
      <w:start w:val="1"/>
      <w:numFmt w:val="lowerLetter"/>
      <w:lvlText w:val="%8."/>
      <w:lvlJc w:val="left"/>
      <w:pPr>
        <w:ind w:left="5760" w:hanging="360"/>
      </w:pPr>
    </w:lvl>
    <w:lvl w:ilvl="8" w:tplc="0986B3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6"/>
  </w:num>
  <w:num w:numId="7">
    <w:abstractNumId w:val="5"/>
  </w:num>
  <w:num w:numId="8">
    <w:abstractNumId w:val="6"/>
  </w:num>
  <w:num w:numId="9">
    <w:abstractNumId w:val="15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D8"/>
    <w:rsid w:val="0001135D"/>
    <w:rsid w:val="00017387"/>
    <w:rsid w:val="00017AD8"/>
    <w:rsid w:val="000605C0"/>
    <w:rsid w:val="0006263A"/>
    <w:rsid w:val="00067CD4"/>
    <w:rsid w:val="00067DED"/>
    <w:rsid w:val="00083720"/>
    <w:rsid w:val="001125F0"/>
    <w:rsid w:val="00145662"/>
    <w:rsid w:val="00153CD5"/>
    <w:rsid w:val="00155538"/>
    <w:rsid w:val="00166D8A"/>
    <w:rsid w:val="00175DA9"/>
    <w:rsid w:val="00181347"/>
    <w:rsid w:val="001877EE"/>
    <w:rsid w:val="001A2A81"/>
    <w:rsid w:val="001C116B"/>
    <w:rsid w:val="002467CE"/>
    <w:rsid w:val="00265DDE"/>
    <w:rsid w:val="002E5A57"/>
    <w:rsid w:val="002F4E48"/>
    <w:rsid w:val="00324BCF"/>
    <w:rsid w:val="00341398"/>
    <w:rsid w:val="00346EE8"/>
    <w:rsid w:val="00351810"/>
    <w:rsid w:val="00354036"/>
    <w:rsid w:val="003570D1"/>
    <w:rsid w:val="00386D0F"/>
    <w:rsid w:val="003D2469"/>
    <w:rsid w:val="003D33C8"/>
    <w:rsid w:val="003D6EBB"/>
    <w:rsid w:val="003E0388"/>
    <w:rsid w:val="003E3C10"/>
    <w:rsid w:val="003F2CB7"/>
    <w:rsid w:val="003F7732"/>
    <w:rsid w:val="004218D4"/>
    <w:rsid w:val="00430471"/>
    <w:rsid w:val="00435BFA"/>
    <w:rsid w:val="004452C0"/>
    <w:rsid w:val="0047190D"/>
    <w:rsid w:val="0047221B"/>
    <w:rsid w:val="004B36B1"/>
    <w:rsid w:val="004B611B"/>
    <w:rsid w:val="004D7205"/>
    <w:rsid w:val="0053384F"/>
    <w:rsid w:val="00553445"/>
    <w:rsid w:val="00580781"/>
    <w:rsid w:val="005A68A8"/>
    <w:rsid w:val="005D22A8"/>
    <w:rsid w:val="005D2EE8"/>
    <w:rsid w:val="00600A55"/>
    <w:rsid w:val="006055CD"/>
    <w:rsid w:val="00620F75"/>
    <w:rsid w:val="006249D8"/>
    <w:rsid w:val="00631DA2"/>
    <w:rsid w:val="00644EE7"/>
    <w:rsid w:val="00653A03"/>
    <w:rsid w:val="00667258"/>
    <w:rsid w:val="006840C0"/>
    <w:rsid w:val="006A6BE2"/>
    <w:rsid w:val="006D125A"/>
    <w:rsid w:val="006D5949"/>
    <w:rsid w:val="006E7E05"/>
    <w:rsid w:val="006F0885"/>
    <w:rsid w:val="0070402B"/>
    <w:rsid w:val="00712D07"/>
    <w:rsid w:val="00726330"/>
    <w:rsid w:val="007331DB"/>
    <w:rsid w:val="00733E9B"/>
    <w:rsid w:val="0075060D"/>
    <w:rsid w:val="00781C9B"/>
    <w:rsid w:val="007B5B89"/>
    <w:rsid w:val="007D2AAC"/>
    <w:rsid w:val="007E188C"/>
    <w:rsid w:val="008379B0"/>
    <w:rsid w:val="00850A21"/>
    <w:rsid w:val="008510CE"/>
    <w:rsid w:val="008531D5"/>
    <w:rsid w:val="008767EB"/>
    <w:rsid w:val="00885E5F"/>
    <w:rsid w:val="008861A1"/>
    <w:rsid w:val="00897C00"/>
    <w:rsid w:val="008B7129"/>
    <w:rsid w:val="009100D4"/>
    <w:rsid w:val="00927E60"/>
    <w:rsid w:val="0095011C"/>
    <w:rsid w:val="0096282C"/>
    <w:rsid w:val="00970C2B"/>
    <w:rsid w:val="009A5210"/>
    <w:rsid w:val="009C411D"/>
    <w:rsid w:val="009D0508"/>
    <w:rsid w:val="00A03F9A"/>
    <w:rsid w:val="00A233E2"/>
    <w:rsid w:val="00A743DC"/>
    <w:rsid w:val="00A81952"/>
    <w:rsid w:val="00AA431B"/>
    <w:rsid w:val="00AB097D"/>
    <w:rsid w:val="00AC434C"/>
    <w:rsid w:val="00AC441A"/>
    <w:rsid w:val="00AF6FB3"/>
    <w:rsid w:val="00B04FDC"/>
    <w:rsid w:val="00B15D27"/>
    <w:rsid w:val="00B2275F"/>
    <w:rsid w:val="00B42812"/>
    <w:rsid w:val="00B60D77"/>
    <w:rsid w:val="00B679F6"/>
    <w:rsid w:val="00B961A7"/>
    <w:rsid w:val="00BA1268"/>
    <w:rsid w:val="00BA4863"/>
    <w:rsid w:val="00BB3992"/>
    <w:rsid w:val="00BC3F0A"/>
    <w:rsid w:val="00BF058C"/>
    <w:rsid w:val="00C02E30"/>
    <w:rsid w:val="00C160F8"/>
    <w:rsid w:val="00C74358"/>
    <w:rsid w:val="00C94B6B"/>
    <w:rsid w:val="00CA08DE"/>
    <w:rsid w:val="00CD02E3"/>
    <w:rsid w:val="00CD0CAD"/>
    <w:rsid w:val="00CD4456"/>
    <w:rsid w:val="00CD710B"/>
    <w:rsid w:val="00CF465C"/>
    <w:rsid w:val="00D5242D"/>
    <w:rsid w:val="00D52750"/>
    <w:rsid w:val="00D52F79"/>
    <w:rsid w:val="00D62E85"/>
    <w:rsid w:val="00D66540"/>
    <w:rsid w:val="00D7004A"/>
    <w:rsid w:val="00DB13DA"/>
    <w:rsid w:val="00DB162F"/>
    <w:rsid w:val="00DB7D02"/>
    <w:rsid w:val="00DC4495"/>
    <w:rsid w:val="00DF025E"/>
    <w:rsid w:val="00DF0482"/>
    <w:rsid w:val="00E0399E"/>
    <w:rsid w:val="00E0587C"/>
    <w:rsid w:val="00E17873"/>
    <w:rsid w:val="00E21605"/>
    <w:rsid w:val="00E234AE"/>
    <w:rsid w:val="00E4282A"/>
    <w:rsid w:val="00E45B79"/>
    <w:rsid w:val="00EB1B92"/>
    <w:rsid w:val="00EB3506"/>
    <w:rsid w:val="00EC2E7B"/>
    <w:rsid w:val="00ED3451"/>
    <w:rsid w:val="00EE0C4B"/>
    <w:rsid w:val="00F4692D"/>
    <w:rsid w:val="00F81FD5"/>
    <w:rsid w:val="00F82D77"/>
    <w:rsid w:val="00FA1ECB"/>
    <w:rsid w:val="00FC0AC5"/>
    <w:rsid w:val="00FF511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38D1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1681"/>
    <w:pPr>
      <w:keepNext/>
      <w:spacing w:before="48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B100BF"/>
    <w:pPr>
      <w:keepNext/>
      <w:tabs>
        <w:tab w:val="left" w:pos="0"/>
      </w:tabs>
      <w:spacing w:before="120" w:after="240"/>
      <w:contextualSpacing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1681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jc w:val="left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60013-6E6F-4B5F-A574-816671231F5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BC4098-3D2C-4A61-A99B-FC312ADC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9222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VZ.1.1.2.docx</vt:lpstr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VZ.1.1.2.docx</dc:title>
  <dc:creator>Eva VÁVROVÁ</dc:creator>
  <cp:lastModifiedBy>Eva VÁVROVÁ</cp:lastModifiedBy>
  <cp:revision>2</cp:revision>
  <cp:lastPrinted>2020-03-04T10:23:00Z</cp:lastPrinted>
  <dcterms:created xsi:type="dcterms:W3CDTF">2020-03-04T10:24:00Z</dcterms:created>
  <dcterms:modified xsi:type="dcterms:W3CDTF">2020-03-04T10:24:00Z</dcterms:modified>
</cp:coreProperties>
</file>